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BE3933" w:rsidRDefault="00C759B9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bookmarkStart w:id="0" w:name="_GoBack"/>
      <w:r w:rsidRPr="00C759B9">
        <w:rPr>
          <w:rFonts w:cs="Times New Roman"/>
          <w:b/>
          <w:color w:val="943634" w:themeColor="accent2" w:themeShade="BF"/>
          <w:sz w:val="28"/>
          <w:szCs w:val="28"/>
        </w:rPr>
        <w:t>Arbeitnehmerdatenschutz: Konkrete Maßnahmen/Regelungen zur Umsetzung der Vorgaben von Art. 88 DSGVO</w:t>
      </w:r>
    </w:p>
    <w:bookmarkEnd w:id="0"/>
    <w:p w:rsidR="00C759B9" w:rsidRDefault="00C759B9" w:rsidP="00BE3933">
      <w:pPr>
        <w:jc w:val="both"/>
        <w:rPr>
          <w:rFonts w:cs="Times New Roman"/>
        </w:rPr>
      </w:pPr>
      <w:r w:rsidRPr="00C759B9">
        <w:rPr>
          <w:rFonts w:cs="Times New Roman"/>
        </w:rPr>
        <w:t>Die nachstehende Checkliste zählt typische Regelungspunkte auf, die Betriebsparteien im Rahmen von Betriebsvereinbarungen zur Umsetzung der Vorgaben der DSGVO in Erwägung ziehen könnten:</w:t>
      </w:r>
    </w:p>
    <w:tbl>
      <w:tblPr>
        <w:tblStyle w:val="Tabellenraster1"/>
        <w:tblW w:w="0" w:type="auto"/>
        <w:tblInd w:w="85" w:type="dxa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632"/>
        <w:gridCol w:w="1525"/>
      </w:tblGrid>
      <w:tr w:rsidR="00C759B9" w:rsidRPr="00C759B9" w:rsidTr="00414A65">
        <w:trPr>
          <w:tblHeader/>
        </w:trPr>
        <w:tc>
          <w:tcPr>
            <w:tcW w:w="7797" w:type="dxa"/>
            <w:shd w:val="clear" w:color="auto" w:fill="C0C0C0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40" w:before="96" w:afterLines="40" w:after="96" w:line="280" w:lineRule="exact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559" w:type="dxa"/>
            <w:shd w:val="clear" w:color="auto" w:fill="C0C0C0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759B9">
              <w:rPr>
                <w:rFonts w:asciiTheme="minorHAnsi" w:hAnsiTheme="minorHAnsi" w:cstheme="minorHAnsi"/>
                <w:b/>
                <w:szCs w:val="24"/>
              </w:rPr>
              <w:t>O.k.</w:t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C759B9">
              <w:rPr>
                <w:rFonts w:asciiTheme="minorHAnsi" w:hAnsiTheme="minorHAnsi" w:cstheme="minorHAnsi"/>
                <w:szCs w:val="24"/>
              </w:rPr>
              <w:t>Inbezugnahme</w:t>
            </w:r>
            <w:proofErr w:type="spellEnd"/>
            <w:r w:rsidRPr="00C759B9">
              <w:rPr>
                <w:rFonts w:asciiTheme="minorHAnsi" w:hAnsiTheme="minorHAnsi" w:cstheme="minorHAnsi"/>
                <w:szCs w:val="24"/>
              </w:rPr>
              <w:t xml:space="preserve"> und Erläuterung der Datenschutzgrundsätze nach </w:t>
            </w:r>
            <w:hyperlink r:id="rId8" w:tgtFrame="_blank" w:history="1">
              <w:r w:rsidRPr="00C759B9">
                <w:rPr>
                  <w:rFonts w:asciiTheme="minorHAnsi" w:hAnsiTheme="minorHAnsi" w:cstheme="minorHAnsi"/>
                  <w:szCs w:val="24"/>
                </w:rPr>
                <w:t>Art. 5 DSGVO</w:t>
              </w:r>
            </w:hyperlink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2"/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  <w:bookmarkEnd w:id="1"/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t>Klarstellung, ob die Betriebsvereinbarung als datenschutzrechtliche Erlaubnisregelung wirken soll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  <w:color w:val="000000"/>
              </w:rPr>
            </w:pPr>
            <w:r w:rsidRPr="00C759B9">
              <w:rPr>
                <w:rFonts w:asciiTheme="minorHAnsi" w:hAnsiTheme="minorHAnsi" w:cstheme="minorHAnsi"/>
              </w:rPr>
              <w:t>Ausdrücklicher Vorbehalt des Rückgriffs auf gesetzliche Erlaubnistatbestände zur Datenverarbeitung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  <w:color w:val="000000"/>
              </w:rPr>
            </w:pPr>
            <w:r w:rsidRPr="00C759B9">
              <w:rPr>
                <w:rFonts w:asciiTheme="minorHAnsi" w:hAnsiTheme="minorHAnsi" w:cstheme="minorHAnsi"/>
              </w:rPr>
              <w:t>Festlegung maßgeblicher Verarbeitungszwecke im Rahmen der Betriebsvereinbarung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  <w:color w:val="000000"/>
              </w:rPr>
            </w:pPr>
            <w:r w:rsidRPr="00C759B9">
              <w:rPr>
                <w:rFonts w:asciiTheme="minorHAnsi" w:hAnsiTheme="minorHAnsi" w:cstheme="minorHAnsi"/>
              </w:rPr>
              <w:t>Allgemeine Anforderungen an die Verarbeitung personenbezogener Daten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  <w:color w:val="000000"/>
              </w:rPr>
            </w:pPr>
            <w:r w:rsidRPr="00C759B9">
              <w:rPr>
                <w:rFonts w:asciiTheme="minorHAnsi" w:hAnsiTheme="minorHAnsi" w:cstheme="minorHAnsi"/>
              </w:rPr>
              <w:t>Allgemeine Regelungen zu und Vorgaben für Leistungs-und Verhaltenskontrollen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  <w:color w:val="000000"/>
              </w:rPr>
            </w:pPr>
            <w:r w:rsidRPr="00C759B9">
              <w:rPr>
                <w:rFonts w:asciiTheme="minorHAnsi" w:hAnsiTheme="minorHAnsi" w:cstheme="minorHAnsi"/>
              </w:rPr>
              <w:t>Konkrete Regelungen zu einzelnen Leistungs- und Verhaltenskontrollen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Aufzählung bzw. Beschreibung von Schutzmechanismen bei der Verarbeitung besonderer Kategorien personenbezogener Daten von Arbeitnehmern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Vorgaben und Regelungen zur Datenverarbeitung durch den Betriebsrat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Konkret festgelegte Kontrollrechte und -befugnisse des Betriebsrats in Bezug auf die Einhaltung der Vorgaben der DSGVO im Beschäftigungskontext durch den Arbeitgeber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Kontrollrechte und -befugnisse des Datenschutzbeauftragten in Bezug auf die Umsetzung von Betriebsvereinbarungen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Regelungen zu möglichen gemeinsamen Datenverarbeitungen im Konzern, vgl. </w:t>
            </w:r>
            <w:r w:rsidRPr="00C759B9">
              <w:rPr>
                <w:rFonts w:asciiTheme="minorHAnsi" w:hAnsiTheme="minorHAnsi" w:cstheme="minorHAnsi"/>
                <w:bdr w:val="none" w:sz="0" w:space="0" w:color="auto" w:frame="1"/>
              </w:rPr>
              <w:t>Art. 26 DSGVO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Weitergabe personenbezogener Daten an Dritte, insbesondere in Konzernstrukturen; bei der Datenweitergabe im Konzern Festlegung der konkreten Zwecke und Rechtsgrundlagen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Regelung flankierender Schutzmechanismen, wie etwa von Zugriffberechtigungskonzepten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Regelungen zum Einsatz von Auftragnehmern i.S.v. </w:t>
            </w:r>
            <w:r w:rsidRPr="00C759B9">
              <w:rPr>
                <w:rFonts w:asciiTheme="minorHAnsi" w:hAnsiTheme="minorHAnsi" w:cstheme="minorHAnsi"/>
                <w:bdr w:val="none" w:sz="0" w:space="0" w:color="auto" w:frame="1"/>
              </w:rPr>
              <w:t>Art. 28 DSGVO</w:t>
            </w:r>
            <w:r w:rsidRPr="00C759B9">
              <w:rPr>
                <w:rFonts w:asciiTheme="minorHAnsi" w:hAnsiTheme="minorHAnsi" w:cstheme="minorHAnsi"/>
              </w:rPr>
              <w:t> bei der Verarbeitung personenbezogener Daten von Beschäftigten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lastRenderedPageBreak/>
              <w:t>Zwecke und Rechtfertigung möglicher grenzüberschreitender Datenübermittlungen bei der Verarbeitung personenbezogener Daten von Beschäftigten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numPr>
                <w:ilvl w:val="0"/>
                <w:numId w:val="4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hanging="357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Gegebenenfalls detaillierte Regelungen zu einzelnen Vorgaben nach der DSGVO, z.B.: Information betroffener Arbeitnehmer von der Erhebung ihrer personenbezogenen Daten nach </w:t>
            </w:r>
            <w:r w:rsidRPr="00C759B9">
              <w:rPr>
                <w:rFonts w:asciiTheme="minorHAnsi" w:hAnsiTheme="minorHAnsi" w:cstheme="minorHAnsi"/>
                <w:color w:val="000000"/>
                <w:bdr w:val="none" w:sz="0" w:space="0" w:color="auto" w:frame="1"/>
              </w:rPr>
              <w:t>Art. 13, 14 DSGVO</w:t>
            </w:r>
            <w:r w:rsidRPr="00C759B9">
              <w:rPr>
                <w:rFonts w:asciiTheme="minorHAnsi" w:hAnsiTheme="minorHAnsi" w:cstheme="minorHAnsi"/>
              </w:rPr>
              <w:t>; Erfüllung von Auskunftsansprüchen nach </w:t>
            </w:r>
            <w:r w:rsidRPr="00C759B9">
              <w:rPr>
                <w:rFonts w:asciiTheme="minorHAnsi" w:hAnsiTheme="minorHAnsi" w:cstheme="minorHAnsi"/>
                <w:color w:val="000000"/>
                <w:bdr w:val="none" w:sz="0" w:space="0" w:color="auto" w:frame="1"/>
              </w:rPr>
              <w:t>Art. 15 DSGVO</w:t>
            </w:r>
            <w:r w:rsidRPr="00C759B9">
              <w:rPr>
                <w:rFonts w:asciiTheme="minorHAnsi" w:hAnsiTheme="minorHAnsi" w:cstheme="minorHAnsi"/>
              </w:rPr>
              <w:t>, ggf. Vereinbarung entsprechender Mustervorlagen und Festlegung eines Prozesses zur Auskunftserteilung; Festlegung von Löschfristen, unterteilt nach Zwecken, Datenkategorien und einzelnen Verarbeitungen; Regelungen zu Datenverarbeitungen im Beschäftigtenkontext, die grundsätzlich einer vorherigen Datenschutzfolgenabschätzung unterliegen sollen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Regelungen zu den Voraussetzungen für zulässige Zweckänderungen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 xml:space="preserve">Vorgaben zu technischen und organisatorischen Maßnahmen zur Gewährleistung der </w:t>
            </w:r>
            <w:r w:rsidRPr="00C759B9">
              <w:rPr>
                <w:rFonts w:asciiTheme="minorHAnsi" w:hAnsiTheme="minorHAnsi" w:cstheme="minorHAnsi"/>
                <w:szCs w:val="24"/>
              </w:rPr>
              <w:t>nach Art. 32 DSGVO vorgeschriebenen Datensicherheit in Bezug auf Beschäftigtendaten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Allgemeine Vorgaben für die Datenverarbeitung durch Mitarbeiter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Reaktionen auf unzulässige Datenverarbeitung durch Mitarbeiter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Klarstellung, dass unzulässige Datenverarbeitung neben einem Gesetzesverstoß auch einen Verstoß gegen arbeitsrechtliche Pflichten darstellt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Einzelheiten zu DSGVO-Schulungen von Mitarbeitern und Führungskräften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Regelungen zu Geheimhaltungspflichten der Mitarbeiter und des Betriebsrats; beispielhafte Benennung besonders geheimhaltungsbedürftiger Datenarten oder Datenverarbeitungen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Sofern der Arbeitgeber auf der Grundlage von Betriebsvereinbarungen auch personenbezogene Daten über Straftaten von Beschäftigten verarbeitet (etwa im Rahmen sogenannter „Background-Checks“), ist sicherzustellen, dass die Betriebsvereinbarung auch die Anforderungen von </w:t>
            </w:r>
            <w:r w:rsidRPr="00C759B9">
              <w:rPr>
                <w:rFonts w:asciiTheme="minorHAnsi" w:hAnsiTheme="minorHAnsi" w:cstheme="minorHAnsi"/>
                <w:bdr w:val="none" w:sz="0" w:space="0" w:color="auto" w:frame="1"/>
              </w:rPr>
              <w:t>Art. 10 DSGVO</w:t>
            </w:r>
            <w:r w:rsidRPr="00C759B9">
              <w:rPr>
                <w:rFonts w:asciiTheme="minorHAnsi" w:hAnsiTheme="minorHAnsi" w:cstheme="minorHAnsi"/>
              </w:rPr>
              <w:t> beachtet und umsetzt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Konfliktlösungsmechanismen bei Meinungsverschiedenheiten zwischen Arbeitgeber und Betriebsrat und mögliche Einrichtung einer ständigen Einigungsstelle; Festlegung von Einigungsstellenvorsitzenden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Nachverhandlungsanspruch im Falle von gesetzlichen Änderungen am bestehenden Datenschutzrecht, insbesondere im Hinblick auf mögliche weitere Änderungen des BDSG n.F. sowie in Bezug auf mögliche künftige datenschutzrechtliche Spezialnormen, etwa zum Sozialdatenschutz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C759B9">
              <w:rPr>
                <w:rFonts w:asciiTheme="minorHAnsi" w:hAnsiTheme="minorHAnsi" w:cstheme="minorHAnsi"/>
              </w:rPr>
              <w:t>Gegebenenfalls Verpflichtung dazu, umgehend eine umfangreichere Rahmenbetriebsvereinbarung und/oder Betriebsvereinbarungen zu Einzelfragen (z.B. einzelne technische Einrichtungen) zu verhandeln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759B9" w:rsidRPr="00C759B9" w:rsidTr="00414A65">
        <w:tc>
          <w:tcPr>
            <w:tcW w:w="7797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theme="minorHAnsi"/>
                <w:color w:val="000000"/>
              </w:rPr>
            </w:pPr>
            <w:r w:rsidRPr="00C759B9">
              <w:rPr>
                <w:rFonts w:asciiTheme="minorHAnsi" w:hAnsiTheme="minorHAnsi" w:cstheme="minorHAnsi"/>
                <w:color w:val="000000"/>
              </w:rPr>
              <w:lastRenderedPageBreak/>
              <w:t>Vereinbarung einer umfassenden Nachwirkung der gesamten Betriebsvereinbarung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C759B9" w:rsidRPr="00C759B9" w:rsidRDefault="00C759B9" w:rsidP="00C759B9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Theme="minorHAnsi" w:hAnsiTheme="minorHAnsi" w:cstheme="minorHAnsi"/>
                <w:szCs w:val="24"/>
              </w:rPr>
            </w:pPr>
            <w:r w:rsidRPr="00C759B9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59B9">
              <w:rPr>
                <w:rFonts w:asciiTheme="minorHAnsi" w:hAnsiTheme="minorHAnsi" w:cstheme="minorHAnsi"/>
                <w:szCs w:val="24"/>
              </w:rPr>
              <w:instrText xml:space="preserve"> FORMCHECKBOX </w:instrText>
            </w:r>
            <w:r w:rsidRPr="00C759B9">
              <w:rPr>
                <w:rFonts w:asciiTheme="minorHAnsi" w:hAnsiTheme="minorHAnsi" w:cstheme="minorHAnsi"/>
                <w:szCs w:val="24"/>
              </w:rPr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C759B9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</w:tbl>
    <w:p w:rsidR="00C759B9" w:rsidRPr="00C759B9" w:rsidRDefault="00C759B9" w:rsidP="00BE3933">
      <w:pPr>
        <w:jc w:val="both"/>
        <w:rPr>
          <w:rFonts w:cs="Times New Roman"/>
        </w:rPr>
      </w:pPr>
    </w:p>
    <w:sectPr w:rsidR="00C759B9" w:rsidRPr="00C759B9" w:rsidSect="00AB6068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5B4314" w:rsidRDefault="008368C8" w:rsidP="008368C8">
    <w:pPr>
      <w:pStyle w:val="Fuzeile"/>
      <w:rPr>
        <w:b/>
        <w:color w:val="A6A6A6" w:themeColor="background1" w:themeShade="A6"/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7846B2">
      <w:rPr>
        <w:b/>
        <w:color w:val="A6A6A6" w:themeColor="background1" w:themeShade="A6"/>
        <w:sz w:val="16"/>
        <w:szCs w:val="16"/>
      </w:rPr>
      <w:t xml:space="preserve">KG | </w:t>
    </w:r>
    <w:r w:rsidR="005B4314">
      <w:rPr>
        <w:b/>
        <w:color w:val="A6A6A6" w:themeColor="background1" w:themeShade="A6"/>
        <w:sz w:val="16"/>
        <w:szCs w:val="16"/>
      </w:rPr>
      <w:t>Jan</w:t>
    </w:r>
    <w:r w:rsidR="00CD4983">
      <w:rPr>
        <w:b/>
        <w:color w:val="A6A6A6" w:themeColor="background1" w:themeShade="A6"/>
        <w:sz w:val="16"/>
        <w:szCs w:val="16"/>
      </w:rPr>
      <w:t xml:space="preserve"> </w:t>
    </w:r>
    <w:r w:rsidR="00B2795A">
      <w:rPr>
        <w:b/>
        <w:color w:val="A6A6A6" w:themeColor="background1" w:themeShade="A6"/>
        <w:sz w:val="16"/>
        <w:szCs w:val="16"/>
      </w:rPr>
      <w:t>2020</w:t>
    </w:r>
    <w:r w:rsidR="00645C6A"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2" w:history="1">
      <w:r w:rsidRPr="007846B2">
        <w:rPr>
          <w:rStyle w:val="Hyperlink"/>
          <w:b/>
          <w:sz w:val="16"/>
          <w:szCs w:val="16"/>
        </w:rPr>
        <w:t>www.betriebsrat-kompakt.de</w:t>
      </w:r>
    </w:hyperlink>
    <w:r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3" w:history="1">
      <w:r w:rsidRPr="007846B2">
        <w:rPr>
          <w:rStyle w:val="Hyperlink"/>
          <w:b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C"/>
    <w:multiLevelType w:val="singleLevel"/>
    <w:tmpl w:val="0000009C"/>
    <w:lvl w:ilvl="0">
      <w:start w:val="1"/>
      <w:numFmt w:val="bullet"/>
      <w:lvlText w:val="·"/>
      <w:lvlJc w:val="left"/>
      <w:rPr>
        <w:rFonts w:ascii="Symbol" w:hAnsi="Symbol"/>
        <w:color w:val="000000"/>
        <w:sz w:val="20"/>
      </w:rPr>
    </w:lvl>
  </w:abstractNum>
  <w:abstractNum w:abstractNumId="1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E0EAC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B2795A"/>
    <w:rsid w:val="00B444E9"/>
    <w:rsid w:val="00BE3933"/>
    <w:rsid w:val="00C759B9"/>
    <w:rsid w:val="00CC14C0"/>
    <w:rsid w:val="00CD4983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rsid w:val="00C759B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rsid w:val="00C759B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gvo-gesetz.de/art-5-dsgvo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20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4283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2019-12-06T13:26:00Z</dcterms:created>
  <dcterms:modified xsi:type="dcterms:W3CDTF">2019-12-06T13:26:00Z</dcterms:modified>
</cp:coreProperties>
</file>