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bookmarkStart w:id="0" w:name="_GoBack"/>
      <w:bookmarkEnd w:id="0"/>
    </w:p>
    <w:p w:rsidR="007846B2" w:rsidRDefault="007846B2"/>
    <w:p w:rsidR="00BE3933" w:rsidRDefault="00D314B4" w:rsidP="00BE3933">
      <w:pPr>
        <w:jc w:val="both"/>
        <w:rPr>
          <w:rFonts w:cs="Times New Roman"/>
          <w:b/>
          <w:color w:val="943634" w:themeColor="accent2" w:themeShade="BF"/>
          <w:sz w:val="28"/>
          <w:szCs w:val="28"/>
        </w:rPr>
      </w:pPr>
      <w:r w:rsidRPr="00D314B4">
        <w:rPr>
          <w:rFonts w:cs="Times New Roman"/>
          <w:b/>
          <w:color w:val="943634" w:themeColor="accent2" w:themeShade="BF"/>
          <w:sz w:val="28"/>
          <w:szCs w:val="28"/>
        </w:rPr>
        <w:t xml:space="preserve">Auswahlrichtlinien </w:t>
      </w:r>
      <w:r>
        <w:rPr>
          <w:rFonts w:cs="Times New Roman"/>
          <w:b/>
          <w:color w:val="943634" w:themeColor="accent2" w:themeShade="BF"/>
          <w:sz w:val="28"/>
          <w:szCs w:val="28"/>
        </w:rPr>
        <w:t>bei</w:t>
      </w:r>
      <w:r w:rsidRPr="00D314B4">
        <w:rPr>
          <w:rFonts w:cs="Times New Roman"/>
          <w:b/>
          <w:color w:val="943634" w:themeColor="accent2" w:themeShade="BF"/>
          <w:sz w:val="28"/>
          <w:szCs w:val="28"/>
        </w:rPr>
        <w:t xml:space="preserve"> Einstellungen und Versetzungen</w:t>
      </w:r>
    </w:p>
    <w:p w:rsidR="00D314B4" w:rsidRPr="00D314B4" w:rsidRDefault="00D314B4" w:rsidP="00D314B4">
      <w:pPr>
        <w:jc w:val="both"/>
        <w:rPr>
          <w:rFonts w:cs="Times New Roman"/>
          <w:sz w:val="24"/>
          <w:szCs w:val="24"/>
        </w:rPr>
      </w:pPr>
      <w:r w:rsidRPr="00D314B4">
        <w:rPr>
          <w:rFonts w:cs="Times New Roman"/>
          <w:sz w:val="24"/>
          <w:szCs w:val="24"/>
        </w:rPr>
        <w:t xml:space="preserve">Die ... GmbH und der Betriebsrat der ... GmbH schließen gemäß § 95 BetrVG die nachstehenden Auswahlrichtlinien </w:t>
      </w:r>
      <w:r>
        <w:rPr>
          <w:rFonts w:cs="Times New Roman"/>
          <w:sz w:val="24"/>
          <w:szCs w:val="24"/>
        </w:rPr>
        <w:t>bei</w:t>
      </w:r>
      <w:r w:rsidRPr="00D314B4">
        <w:rPr>
          <w:rFonts w:cs="Times New Roman"/>
          <w:sz w:val="24"/>
          <w:szCs w:val="24"/>
        </w:rPr>
        <w:t xml:space="preserve"> Einstellungen und Versetzungen ab:</w:t>
      </w:r>
    </w:p>
    <w:p w:rsidR="00D314B4" w:rsidRPr="00D314B4" w:rsidRDefault="00D314B4" w:rsidP="00D314B4">
      <w:pPr>
        <w:jc w:val="both"/>
        <w:rPr>
          <w:rFonts w:cs="Times New Roman"/>
          <w:b/>
          <w:sz w:val="24"/>
          <w:szCs w:val="24"/>
        </w:rPr>
      </w:pPr>
      <w:r w:rsidRPr="00D314B4">
        <w:rPr>
          <w:rFonts w:cs="Times New Roman"/>
          <w:b/>
          <w:sz w:val="24"/>
          <w:szCs w:val="24"/>
        </w:rPr>
        <w:t>§ 1 Ziel der Auswahlrichtlinien</w:t>
      </w:r>
    </w:p>
    <w:p w:rsidR="00D314B4" w:rsidRPr="00D314B4" w:rsidRDefault="00D314B4" w:rsidP="00D314B4">
      <w:pPr>
        <w:jc w:val="both"/>
        <w:rPr>
          <w:rFonts w:cs="Times New Roman"/>
          <w:sz w:val="24"/>
          <w:szCs w:val="24"/>
        </w:rPr>
      </w:pPr>
      <w:r w:rsidRPr="00D314B4">
        <w:rPr>
          <w:rFonts w:cs="Times New Roman"/>
          <w:sz w:val="24"/>
          <w:szCs w:val="24"/>
        </w:rPr>
        <w:t>1.1 Mit den abgeschlossenen Auswahlrichtlinien beabsichtigen die Betriebsparteien, die personelle Auswahl bei Einstellungen und Versetzungen transparent zu gestalten.</w:t>
      </w:r>
    </w:p>
    <w:p w:rsidR="00D314B4" w:rsidRPr="00D314B4" w:rsidRDefault="00D314B4" w:rsidP="00D314B4">
      <w:pPr>
        <w:jc w:val="both"/>
        <w:rPr>
          <w:rFonts w:cs="Times New Roman"/>
          <w:sz w:val="24"/>
          <w:szCs w:val="24"/>
        </w:rPr>
      </w:pPr>
      <w:r w:rsidRPr="00D314B4">
        <w:rPr>
          <w:rFonts w:cs="Times New Roman"/>
          <w:sz w:val="24"/>
          <w:szCs w:val="24"/>
        </w:rPr>
        <w:t>1.2 Die für den zu besetzenden Arbeitsplatz am besten geeignete Person wird ausgewählt, dabei erhalten bereits im Betrieb Beschäftigte den Vorzug vor externen Bewerberinnen und Bewerbern.</w:t>
      </w:r>
    </w:p>
    <w:p w:rsidR="00D314B4" w:rsidRPr="00D314B4" w:rsidRDefault="00D314B4" w:rsidP="00D314B4">
      <w:pPr>
        <w:jc w:val="both"/>
        <w:rPr>
          <w:rFonts w:cs="Times New Roman"/>
          <w:sz w:val="24"/>
          <w:szCs w:val="24"/>
        </w:rPr>
      </w:pPr>
      <w:r w:rsidRPr="00D314B4">
        <w:rPr>
          <w:rFonts w:cs="Times New Roman"/>
          <w:sz w:val="24"/>
          <w:szCs w:val="24"/>
        </w:rPr>
        <w:t>1.3 Die freie Entfaltung der Persönlichkeit der im Betrieb beschäftigten Arbeitnehmerinnen und Arbeitnehmer ist zu schützen und zu fördern.</w:t>
      </w:r>
    </w:p>
    <w:p w:rsidR="00D314B4" w:rsidRPr="00D314B4" w:rsidRDefault="00D314B4" w:rsidP="00D314B4">
      <w:pPr>
        <w:jc w:val="both"/>
        <w:rPr>
          <w:rFonts w:cs="Times New Roman"/>
          <w:sz w:val="24"/>
          <w:szCs w:val="24"/>
        </w:rPr>
      </w:pPr>
      <w:r w:rsidRPr="00D314B4">
        <w:rPr>
          <w:rFonts w:cs="Times New Roman"/>
          <w:sz w:val="24"/>
          <w:szCs w:val="24"/>
        </w:rPr>
        <w:t>1.4 Jede Benachteiligung aus Gründen der Rasse oder wegen der ethnischen Herkunft, der Abstammung oder sonstigen Herkunft, der Nationalität, der Religion oder Weltanschauung, einer Behinderung, des Alters, der politischen oder gewerkschaftlichen Betätigung oder Einstellung oder wegen des Geschlechts oder der sexuellen Identität hat zu unterbleiben.</w:t>
      </w:r>
    </w:p>
    <w:p w:rsidR="00D314B4" w:rsidRPr="00D314B4" w:rsidRDefault="00D314B4" w:rsidP="00D314B4">
      <w:pPr>
        <w:jc w:val="both"/>
        <w:rPr>
          <w:rFonts w:cs="Times New Roman"/>
          <w:sz w:val="24"/>
          <w:szCs w:val="24"/>
        </w:rPr>
      </w:pPr>
      <w:r w:rsidRPr="00D314B4">
        <w:rPr>
          <w:rFonts w:cs="Times New Roman"/>
          <w:sz w:val="24"/>
          <w:szCs w:val="24"/>
        </w:rPr>
        <w:t>1.5 Stellenausschreibungen erfolgen geschlechtsneutral und diskriminierungsfrei.</w:t>
      </w:r>
    </w:p>
    <w:p w:rsidR="00D314B4" w:rsidRPr="00D314B4" w:rsidRDefault="00D314B4" w:rsidP="00D314B4">
      <w:pPr>
        <w:jc w:val="both"/>
        <w:rPr>
          <w:rFonts w:cs="Times New Roman"/>
          <w:b/>
          <w:sz w:val="24"/>
          <w:szCs w:val="24"/>
        </w:rPr>
      </w:pPr>
      <w:r w:rsidRPr="00D314B4">
        <w:rPr>
          <w:rFonts w:cs="Times New Roman"/>
          <w:b/>
          <w:sz w:val="24"/>
          <w:szCs w:val="24"/>
        </w:rPr>
        <w:t>§ 2 Geltungsbereich</w:t>
      </w:r>
    </w:p>
    <w:p w:rsidR="00D314B4" w:rsidRPr="00D314B4" w:rsidRDefault="00D314B4" w:rsidP="00D314B4">
      <w:pPr>
        <w:jc w:val="both"/>
        <w:rPr>
          <w:rFonts w:cs="Times New Roman"/>
          <w:sz w:val="24"/>
          <w:szCs w:val="24"/>
        </w:rPr>
      </w:pPr>
      <w:r w:rsidRPr="00D314B4">
        <w:rPr>
          <w:rFonts w:cs="Times New Roman"/>
          <w:sz w:val="24"/>
          <w:szCs w:val="24"/>
        </w:rPr>
        <w:t>Die Auswahlrichtlinien gelten für alle Arbeitnehmerinnen und Arbeitnehmer gemäß § 5 Abs. 1 BetrVG mit Ausnahme der Auszubildenden.</w:t>
      </w:r>
    </w:p>
    <w:p w:rsidR="00D314B4" w:rsidRPr="00D314B4" w:rsidRDefault="00D314B4" w:rsidP="00D314B4">
      <w:pPr>
        <w:jc w:val="both"/>
        <w:rPr>
          <w:rFonts w:cs="Times New Roman"/>
          <w:b/>
          <w:sz w:val="24"/>
          <w:szCs w:val="24"/>
        </w:rPr>
      </w:pPr>
      <w:r w:rsidRPr="00D314B4">
        <w:rPr>
          <w:rFonts w:cs="Times New Roman"/>
          <w:b/>
          <w:sz w:val="24"/>
          <w:szCs w:val="24"/>
        </w:rPr>
        <w:t>§ 3 Einstellungen</w:t>
      </w:r>
    </w:p>
    <w:p w:rsidR="00D314B4" w:rsidRPr="00D314B4" w:rsidRDefault="00D314B4" w:rsidP="00D314B4">
      <w:pPr>
        <w:jc w:val="both"/>
        <w:rPr>
          <w:rFonts w:cs="Times New Roman"/>
          <w:sz w:val="24"/>
          <w:szCs w:val="24"/>
        </w:rPr>
      </w:pPr>
      <w:r w:rsidRPr="00D314B4">
        <w:rPr>
          <w:rFonts w:cs="Times New Roman"/>
          <w:sz w:val="24"/>
          <w:szCs w:val="24"/>
        </w:rPr>
        <w:t>3.1 Eingestellt wird nur, wenn innerbetrieblich keine geeignete Arbeitnehmerin oder kein geeigneter Arbeitnehmer zur Verfügung steht.</w:t>
      </w:r>
    </w:p>
    <w:p w:rsidR="00D314B4" w:rsidRPr="00D314B4" w:rsidRDefault="00D314B4" w:rsidP="00D314B4">
      <w:pPr>
        <w:jc w:val="both"/>
        <w:rPr>
          <w:rFonts w:cs="Times New Roman"/>
          <w:sz w:val="24"/>
          <w:szCs w:val="24"/>
        </w:rPr>
      </w:pPr>
      <w:r w:rsidRPr="00D314B4">
        <w:rPr>
          <w:rFonts w:cs="Times New Roman"/>
          <w:sz w:val="24"/>
          <w:szCs w:val="24"/>
        </w:rPr>
        <w:t>3.2 Für die Auswahl von Bewerberinnen und Bewerbern ist vor allem die fachliche und persönliche Eignung für den zu besetzenden Arbeitsplatz entscheidend. Sind hierbei zwei oder mehr Bewerberinnen und Bewerber gleich gut geeignet, entscheiden soziale Gesichtspunkte.</w:t>
      </w:r>
    </w:p>
    <w:p w:rsidR="00D314B4" w:rsidRPr="00D314B4" w:rsidRDefault="00D314B4" w:rsidP="00D314B4">
      <w:pPr>
        <w:jc w:val="both"/>
        <w:rPr>
          <w:rFonts w:cs="Times New Roman"/>
          <w:sz w:val="24"/>
          <w:szCs w:val="24"/>
        </w:rPr>
      </w:pPr>
      <w:r w:rsidRPr="00D314B4">
        <w:rPr>
          <w:rFonts w:cs="Times New Roman"/>
          <w:sz w:val="24"/>
          <w:szCs w:val="24"/>
        </w:rPr>
        <w:t>3.3 Zur Prüfung der Eignung von Bewerberinnen und Bewerbern sind insbesondere heranzuziehen</w:t>
      </w:r>
    </w:p>
    <w:p w:rsidR="00D314B4" w:rsidRPr="00D314B4" w:rsidRDefault="00D314B4" w:rsidP="00D314B4">
      <w:pPr>
        <w:pStyle w:val="Listenabsatz"/>
        <w:numPr>
          <w:ilvl w:val="0"/>
          <w:numId w:val="4"/>
        </w:numPr>
        <w:jc w:val="both"/>
        <w:rPr>
          <w:rFonts w:cs="Times New Roman"/>
          <w:sz w:val="24"/>
          <w:szCs w:val="24"/>
        </w:rPr>
      </w:pPr>
      <w:r w:rsidRPr="00D314B4">
        <w:rPr>
          <w:rFonts w:cs="Times New Roman"/>
          <w:sz w:val="24"/>
          <w:szCs w:val="24"/>
        </w:rPr>
        <w:t>die Tätigkeitsbeschreibung für den zu besetzenden Arbeitsplatz,</w:t>
      </w:r>
    </w:p>
    <w:p w:rsidR="00D314B4" w:rsidRPr="00D314B4" w:rsidRDefault="00D314B4" w:rsidP="00D314B4">
      <w:pPr>
        <w:pStyle w:val="Listenabsatz"/>
        <w:numPr>
          <w:ilvl w:val="0"/>
          <w:numId w:val="4"/>
        </w:numPr>
        <w:jc w:val="both"/>
        <w:rPr>
          <w:rFonts w:cs="Times New Roman"/>
          <w:sz w:val="24"/>
          <w:szCs w:val="24"/>
        </w:rPr>
      </w:pPr>
      <w:r w:rsidRPr="00D314B4">
        <w:rPr>
          <w:rFonts w:cs="Times New Roman"/>
          <w:sz w:val="24"/>
          <w:szCs w:val="24"/>
        </w:rPr>
        <w:lastRenderedPageBreak/>
        <w:t>berufliche Befähigungsnachweise, u.a. Schul- und Ausbildungszeugnisse sowie Beschäftigungszeugnisse und</w:t>
      </w:r>
    </w:p>
    <w:p w:rsidR="00D314B4" w:rsidRPr="00D314B4" w:rsidRDefault="00D314B4" w:rsidP="00D314B4">
      <w:pPr>
        <w:pStyle w:val="Listenabsatz"/>
        <w:numPr>
          <w:ilvl w:val="0"/>
          <w:numId w:val="4"/>
        </w:numPr>
        <w:jc w:val="both"/>
        <w:rPr>
          <w:rFonts w:cs="Times New Roman"/>
          <w:sz w:val="24"/>
          <w:szCs w:val="24"/>
        </w:rPr>
      </w:pPr>
      <w:r w:rsidRPr="00D314B4">
        <w:rPr>
          <w:rFonts w:cs="Times New Roman"/>
          <w:sz w:val="24"/>
          <w:szCs w:val="24"/>
        </w:rPr>
        <w:t>das Ergebnis des Bewerbungsgesprächs.</w:t>
      </w:r>
    </w:p>
    <w:p w:rsidR="00D314B4" w:rsidRPr="00D314B4" w:rsidRDefault="00D314B4" w:rsidP="00D314B4">
      <w:pPr>
        <w:jc w:val="both"/>
        <w:rPr>
          <w:rFonts w:cs="Times New Roman"/>
          <w:b/>
          <w:sz w:val="24"/>
          <w:szCs w:val="24"/>
        </w:rPr>
      </w:pPr>
      <w:r w:rsidRPr="00D314B4">
        <w:rPr>
          <w:rFonts w:cs="Times New Roman"/>
          <w:b/>
          <w:sz w:val="24"/>
          <w:szCs w:val="24"/>
        </w:rPr>
        <w:t>§ 4 Versetzungen</w:t>
      </w:r>
    </w:p>
    <w:p w:rsidR="00D314B4" w:rsidRPr="00D314B4" w:rsidRDefault="00D314B4" w:rsidP="00D314B4">
      <w:pPr>
        <w:jc w:val="both"/>
        <w:rPr>
          <w:rFonts w:cs="Times New Roman"/>
          <w:sz w:val="24"/>
          <w:szCs w:val="24"/>
        </w:rPr>
      </w:pPr>
      <w:r w:rsidRPr="00D314B4">
        <w:rPr>
          <w:rFonts w:cs="Times New Roman"/>
          <w:sz w:val="24"/>
          <w:szCs w:val="24"/>
        </w:rPr>
        <w:t>4.1 Alle zu besetzenden Arbeitsplätze werden innerbetrieblich ausgeschrieben.</w:t>
      </w:r>
    </w:p>
    <w:p w:rsidR="00D314B4" w:rsidRPr="00D314B4" w:rsidRDefault="00D314B4" w:rsidP="00D314B4">
      <w:pPr>
        <w:jc w:val="both"/>
        <w:rPr>
          <w:rFonts w:cs="Times New Roman"/>
          <w:sz w:val="24"/>
          <w:szCs w:val="24"/>
        </w:rPr>
      </w:pPr>
      <w:r w:rsidRPr="00D314B4">
        <w:rPr>
          <w:rFonts w:cs="Times New Roman"/>
          <w:sz w:val="24"/>
          <w:szCs w:val="24"/>
        </w:rPr>
        <w:t>4.2 Bei gleich qualifizierten Bewerberinnen und Bewerbern erhält stets der interne Bewerber/die interne Bewerberin den Vorzug.</w:t>
      </w:r>
    </w:p>
    <w:p w:rsidR="00D314B4" w:rsidRPr="00D314B4" w:rsidRDefault="00D314B4" w:rsidP="00D314B4">
      <w:pPr>
        <w:jc w:val="both"/>
        <w:rPr>
          <w:rFonts w:cs="Times New Roman"/>
          <w:sz w:val="24"/>
          <w:szCs w:val="24"/>
        </w:rPr>
      </w:pPr>
      <w:r w:rsidRPr="00D314B4">
        <w:rPr>
          <w:rFonts w:cs="Times New Roman"/>
          <w:sz w:val="24"/>
          <w:szCs w:val="24"/>
        </w:rPr>
        <w:t xml:space="preserve">4.3 Bei Versetzungen sind die fachliche und persönliche Eignung sowie soziale Gesichtspunkte zu berücksichtigen. Die fachliche und persönliche Eignung ist entscheidend bei Versetzungen auf einen höherwertigen und gleichwertigen Arbeitsplatz. Bei Versetzungen auf einen </w:t>
      </w:r>
      <w:proofErr w:type="spellStart"/>
      <w:r w:rsidRPr="00D314B4">
        <w:rPr>
          <w:rFonts w:cs="Times New Roman"/>
          <w:sz w:val="24"/>
          <w:szCs w:val="24"/>
        </w:rPr>
        <w:t>geringerwertigen</w:t>
      </w:r>
      <w:proofErr w:type="spellEnd"/>
      <w:r w:rsidRPr="00D314B4">
        <w:rPr>
          <w:rFonts w:cs="Times New Roman"/>
          <w:sz w:val="24"/>
          <w:szCs w:val="24"/>
        </w:rPr>
        <w:t xml:space="preserve"> Arbeitsplatz kommt es neben der Eignung für diesen Arbeitsplatz vor allem auf die sozialen Gesichtspunkte an.</w:t>
      </w:r>
    </w:p>
    <w:p w:rsidR="00D314B4" w:rsidRPr="00D314B4" w:rsidRDefault="00D314B4" w:rsidP="00D314B4">
      <w:pPr>
        <w:jc w:val="both"/>
        <w:rPr>
          <w:rFonts w:cs="Times New Roman"/>
          <w:sz w:val="24"/>
          <w:szCs w:val="24"/>
        </w:rPr>
      </w:pPr>
      <w:r w:rsidRPr="00D314B4">
        <w:rPr>
          <w:rFonts w:cs="Times New Roman"/>
          <w:sz w:val="24"/>
          <w:szCs w:val="24"/>
        </w:rPr>
        <w:t>4.4 Zur Eignung heranzuziehen sind insbesondere</w:t>
      </w:r>
    </w:p>
    <w:p w:rsidR="00D314B4" w:rsidRPr="00D314B4" w:rsidRDefault="00D314B4" w:rsidP="00D314B4">
      <w:pPr>
        <w:pStyle w:val="Listenabsatz"/>
        <w:numPr>
          <w:ilvl w:val="0"/>
          <w:numId w:val="5"/>
        </w:numPr>
        <w:jc w:val="both"/>
        <w:rPr>
          <w:rFonts w:cs="Times New Roman"/>
          <w:sz w:val="24"/>
          <w:szCs w:val="24"/>
        </w:rPr>
      </w:pPr>
      <w:r w:rsidRPr="00D314B4">
        <w:rPr>
          <w:rFonts w:cs="Times New Roman"/>
          <w:sz w:val="24"/>
          <w:szCs w:val="24"/>
        </w:rPr>
        <w:t>die Tätigkeitsbeschreibung für den zu besetzenden Arbeitsplatz,</w:t>
      </w:r>
    </w:p>
    <w:p w:rsidR="00D314B4" w:rsidRPr="00D314B4" w:rsidRDefault="00D314B4" w:rsidP="00D314B4">
      <w:pPr>
        <w:pStyle w:val="Listenabsatz"/>
        <w:numPr>
          <w:ilvl w:val="0"/>
          <w:numId w:val="5"/>
        </w:numPr>
        <w:jc w:val="both"/>
        <w:rPr>
          <w:rFonts w:cs="Times New Roman"/>
          <w:sz w:val="24"/>
          <w:szCs w:val="24"/>
        </w:rPr>
      </w:pPr>
      <w:r w:rsidRPr="00D314B4">
        <w:rPr>
          <w:rFonts w:cs="Times New Roman"/>
          <w:sz w:val="24"/>
          <w:szCs w:val="24"/>
        </w:rPr>
        <w:t>Lehrgänge und sonstige Qualifizierungsnachweise,</w:t>
      </w:r>
    </w:p>
    <w:p w:rsidR="00D314B4" w:rsidRPr="00D314B4" w:rsidRDefault="00D314B4" w:rsidP="00D314B4">
      <w:pPr>
        <w:pStyle w:val="Listenabsatz"/>
        <w:numPr>
          <w:ilvl w:val="0"/>
          <w:numId w:val="5"/>
        </w:numPr>
        <w:jc w:val="both"/>
        <w:rPr>
          <w:rFonts w:cs="Times New Roman"/>
          <w:sz w:val="24"/>
          <w:szCs w:val="24"/>
        </w:rPr>
      </w:pPr>
      <w:r w:rsidRPr="00D314B4">
        <w:rPr>
          <w:rFonts w:cs="Times New Roman"/>
          <w:sz w:val="24"/>
          <w:szCs w:val="24"/>
        </w:rPr>
        <w:t>im Betrieb erworbene Kenntnisse und Erfahrungen,</w:t>
      </w:r>
    </w:p>
    <w:p w:rsidR="00D314B4" w:rsidRPr="00D314B4" w:rsidRDefault="00D314B4" w:rsidP="00D314B4">
      <w:pPr>
        <w:pStyle w:val="Listenabsatz"/>
        <w:numPr>
          <w:ilvl w:val="0"/>
          <w:numId w:val="5"/>
        </w:numPr>
        <w:jc w:val="both"/>
        <w:rPr>
          <w:rFonts w:cs="Times New Roman"/>
          <w:sz w:val="24"/>
          <w:szCs w:val="24"/>
        </w:rPr>
      </w:pPr>
      <w:r w:rsidRPr="00D314B4">
        <w:rPr>
          <w:rFonts w:cs="Times New Roman"/>
          <w:sz w:val="24"/>
          <w:szCs w:val="24"/>
        </w:rPr>
        <w:t>die Beurteilungen der letzten drei Jahre.</w:t>
      </w:r>
    </w:p>
    <w:p w:rsidR="00D314B4" w:rsidRPr="00D314B4" w:rsidRDefault="00D314B4" w:rsidP="00D314B4">
      <w:pPr>
        <w:jc w:val="both"/>
        <w:rPr>
          <w:rFonts w:cs="Times New Roman"/>
          <w:sz w:val="24"/>
          <w:szCs w:val="24"/>
        </w:rPr>
      </w:pPr>
      <w:r w:rsidRPr="00D314B4">
        <w:rPr>
          <w:rFonts w:cs="Times New Roman"/>
          <w:sz w:val="24"/>
          <w:szCs w:val="24"/>
        </w:rPr>
        <w:t>4.5 Soziale Gesichtspunkte sind</w:t>
      </w:r>
    </w:p>
    <w:p w:rsidR="00D314B4" w:rsidRPr="00D314B4" w:rsidRDefault="00D314B4" w:rsidP="00D314B4">
      <w:pPr>
        <w:pStyle w:val="Listenabsatz"/>
        <w:numPr>
          <w:ilvl w:val="0"/>
          <w:numId w:val="6"/>
        </w:numPr>
        <w:jc w:val="both"/>
        <w:rPr>
          <w:rFonts w:cs="Times New Roman"/>
          <w:sz w:val="24"/>
          <w:szCs w:val="24"/>
        </w:rPr>
      </w:pPr>
      <w:r w:rsidRPr="00D314B4">
        <w:rPr>
          <w:rFonts w:cs="Times New Roman"/>
          <w:sz w:val="24"/>
          <w:szCs w:val="24"/>
        </w:rPr>
        <w:t>Dauer der Betriebszugehörigkeit,</w:t>
      </w:r>
    </w:p>
    <w:p w:rsidR="00D314B4" w:rsidRPr="00D314B4" w:rsidRDefault="00D314B4" w:rsidP="00D314B4">
      <w:pPr>
        <w:pStyle w:val="Listenabsatz"/>
        <w:numPr>
          <w:ilvl w:val="0"/>
          <w:numId w:val="6"/>
        </w:numPr>
        <w:jc w:val="both"/>
        <w:rPr>
          <w:rFonts w:cs="Times New Roman"/>
          <w:sz w:val="24"/>
          <w:szCs w:val="24"/>
        </w:rPr>
      </w:pPr>
      <w:r w:rsidRPr="00D314B4">
        <w:rPr>
          <w:rFonts w:cs="Times New Roman"/>
          <w:sz w:val="24"/>
          <w:szCs w:val="24"/>
        </w:rPr>
        <w:t>Unterhaltspflichten,</w:t>
      </w:r>
    </w:p>
    <w:p w:rsidR="00D314B4" w:rsidRPr="00D314B4" w:rsidRDefault="00D314B4" w:rsidP="00D314B4">
      <w:pPr>
        <w:pStyle w:val="Listenabsatz"/>
        <w:numPr>
          <w:ilvl w:val="0"/>
          <w:numId w:val="6"/>
        </w:numPr>
        <w:jc w:val="both"/>
        <w:rPr>
          <w:rFonts w:cs="Times New Roman"/>
          <w:sz w:val="24"/>
          <w:szCs w:val="24"/>
        </w:rPr>
      </w:pPr>
      <w:r w:rsidRPr="00D314B4">
        <w:rPr>
          <w:rFonts w:cs="Times New Roman"/>
          <w:sz w:val="24"/>
          <w:szCs w:val="24"/>
        </w:rPr>
        <w:t>Vorliegen einer Schwerbehinderung,</w:t>
      </w:r>
    </w:p>
    <w:p w:rsidR="00D314B4" w:rsidRPr="00D314B4" w:rsidRDefault="00D314B4" w:rsidP="00D314B4">
      <w:pPr>
        <w:pStyle w:val="Listenabsatz"/>
        <w:numPr>
          <w:ilvl w:val="0"/>
          <w:numId w:val="6"/>
        </w:numPr>
        <w:jc w:val="both"/>
        <w:rPr>
          <w:rFonts w:cs="Times New Roman"/>
          <w:sz w:val="24"/>
          <w:szCs w:val="24"/>
        </w:rPr>
      </w:pPr>
      <w:r w:rsidRPr="00D314B4">
        <w:rPr>
          <w:rFonts w:cs="Times New Roman"/>
          <w:sz w:val="24"/>
          <w:szCs w:val="24"/>
        </w:rPr>
        <w:t>Lebensalter.</w:t>
      </w:r>
    </w:p>
    <w:p w:rsidR="00D314B4" w:rsidRPr="00D314B4" w:rsidRDefault="00D314B4" w:rsidP="00D314B4">
      <w:pPr>
        <w:jc w:val="both"/>
        <w:rPr>
          <w:rFonts w:cs="Times New Roman"/>
          <w:sz w:val="24"/>
          <w:szCs w:val="24"/>
        </w:rPr>
      </w:pPr>
      <w:r w:rsidRPr="00D314B4">
        <w:rPr>
          <w:rFonts w:cs="Times New Roman"/>
          <w:sz w:val="24"/>
          <w:szCs w:val="24"/>
        </w:rPr>
        <w:t>4.6 Versetzungswünsche von Arbeitnehmerinnen und Arbeitnehmern sind bei der Personalabteilung und/oder beim Betriebsrat anzumelden und werden nach Möglichkeit berücksichtigt, sofern die Arbeitnehmerin/der Arbeitnehmer mindestens zwölf Monate auf dem bisherigen Arbeitsplatz tätig war. In begründeten Ausnahmefällen kann von dieser Mindestbeschäftigungszeit abgewichen werden (z.B. bei Mobbing).</w:t>
      </w:r>
    </w:p>
    <w:p w:rsidR="00D314B4" w:rsidRPr="00D314B4" w:rsidRDefault="00D314B4" w:rsidP="00D314B4">
      <w:pPr>
        <w:jc w:val="both"/>
        <w:rPr>
          <w:rFonts w:cs="Times New Roman"/>
          <w:sz w:val="24"/>
          <w:szCs w:val="24"/>
        </w:rPr>
      </w:pPr>
      <w:r w:rsidRPr="00D314B4">
        <w:rPr>
          <w:rFonts w:cs="Times New Roman"/>
          <w:sz w:val="24"/>
          <w:szCs w:val="24"/>
        </w:rPr>
        <w:t>4.7 Versetzungen auf Arbeitsplätze mit Weisungsbefugnis sind nur möglich bei Nachweis von Fähigkeiten zur sozialen Kompetenz und Kenntnissen im Betriebsverfassungs- und Arbeitsrecht. Der Besuch entsprechender interner Schulungen gilt als Nachweis.</w:t>
      </w:r>
    </w:p>
    <w:p w:rsidR="00D314B4" w:rsidRPr="00D314B4" w:rsidRDefault="00D314B4" w:rsidP="00D314B4">
      <w:pPr>
        <w:jc w:val="both"/>
        <w:rPr>
          <w:rFonts w:cs="Times New Roman"/>
          <w:b/>
          <w:sz w:val="24"/>
          <w:szCs w:val="24"/>
        </w:rPr>
      </w:pPr>
      <w:r w:rsidRPr="00D314B4">
        <w:rPr>
          <w:rFonts w:cs="Times New Roman"/>
          <w:b/>
          <w:sz w:val="24"/>
          <w:szCs w:val="24"/>
        </w:rPr>
        <w:t>§ 5 Bewerbungsunterlagen</w:t>
      </w:r>
    </w:p>
    <w:p w:rsidR="00D314B4" w:rsidRPr="00D314B4" w:rsidRDefault="00D314B4" w:rsidP="00D314B4">
      <w:pPr>
        <w:jc w:val="both"/>
        <w:rPr>
          <w:rFonts w:cs="Times New Roman"/>
          <w:sz w:val="24"/>
          <w:szCs w:val="24"/>
        </w:rPr>
      </w:pPr>
      <w:r w:rsidRPr="00D314B4">
        <w:rPr>
          <w:rFonts w:cs="Times New Roman"/>
          <w:sz w:val="24"/>
          <w:szCs w:val="24"/>
        </w:rPr>
        <w:t>5.1 Zu den Bewerbungsunterlagen von externen Bewerberinnen und Bewerbern gehören:</w:t>
      </w:r>
    </w:p>
    <w:p w:rsidR="00D314B4" w:rsidRPr="00D314B4" w:rsidRDefault="00D314B4" w:rsidP="00D314B4">
      <w:pPr>
        <w:pStyle w:val="Listenabsatz"/>
        <w:numPr>
          <w:ilvl w:val="0"/>
          <w:numId w:val="7"/>
        </w:numPr>
        <w:jc w:val="both"/>
        <w:rPr>
          <w:rFonts w:cs="Times New Roman"/>
          <w:sz w:val="24"/>
          <w:szCs w:val="24"/>
        </w:rPr>
      </w:pPr>
      <w:r w:rsidRPr="00D314B4">
        <w:rPr>
          <w:rFonts w:cs="Times New Roman"/>
          <w:sz w:val="24"/>
          <w:szCs w:val="24"/>
        </w:rPr>
        <w:lastRenderedPageBreak/>
        <w:t>Anschreiben an das Unternehmen</w:t>
      </w:r>
    </w:p>
    <w:p w:rsidR="00D314B4" w:rsidRPr="00D314B4" w:rsidRDefault="00D314B4" w:rsidP="00D314B4">
      <w:pPr>
        <w:pStyle w:val="Listenabsatz"/>
        <w:numPr>
          <w:ilvl w:val="0"/>
          <w:numId w:val="7"/>
        </w:numPr>
        <w:jc w:val="both"/>
        <w:rPr>
          <w:rFonts w:cs="Times New Roman"/>
          <w:sz w:val="24"/>
          <w:szCs w:val="24"/>
        </w:rPr>
      </w:pPr>
      <w:r w:rsidRPr="00D314B4">
        <w:rPr>
          <w:rFonts w:cs="Times New Roman"/>
          <w:sz w:val="24"/>
          <w:szCs w:val="24"/>
        </w:rPr>
        <w:t>Zeugnisse und sonstige Tätigkeitsnachweise</w:t>
      </w:r>
    </w:p>
    <w:p w:rsidR="00D314B4" w:rsidRPr="00D314B4" w:rsidRDefault="00D314B4" w:rsidP="00D314B4">
      <w:pPr>
        <w:pStyle w:val="Listenabsatz"/>
        <w:numPr>
          <w:ilvl w:val="0"/>
          <w:numId w:val="7"/>
        </w:numPr>
        <w:jc w:val="both"/>
        <w:rPr>
          <w:rFonts w:cs="Times New Roman"/>
          <w:sz w:val="24"/>
          <w:szCs w:val="24"/>
        </w:rPr>
      </w:pPr>
      <w:r w:rsidRPr="00D314B4">
        <w:rPr>
          <w:rFonts w:cs="Times New Roman"/>
          <w:sz w:val="24"/>
          <w:szCs w:val="24"/>
        </w:rPr>
        <w:t>Lebenslauf</w:t>
      </w:r>
    </w:p>
    <w:p w:rsidR="00D314B4" w:rsidRPr="00D314B4" w:rsidRDefault="00D314B4" w:rsidP="00D314B4">
      <w:pPr>
        <w:pStyle w:val="Listenabsatz"/>
        <w:numPr>
          <w:ilvl w:val="0"/>
          <w:numId w:val="7"/>
        </w:numPr>
        <w:jc w:val="both"/>
        <w:rPr>
          <w:rFonts w:cs="Times New Roman"/>
          <w:sz w:val="24"/>
          <w:szCs w:val="24"/>
        </w:rPr>
      </w:pPr>
      <w:r w:rsidRPr="00D314B4">
        <w:rPr>
          <w:rFonts w:cs="Times New Roman"/>
          <w:sz w:val="24"/>
          <w:szCs w:val="24"/>
        </w:rPr>
        <w:t>Personalfragebogen</w:t>
      </w:r>
    </w:p>
    <w:p w:rsidR="00D314B4" w:rsidRPr="00D314B4" w:rsidRDefault="00D314B4" w:rsidP="00D314B4">
      <w:pPr>
        <w:jc w:val="both"/>
        <w:rPr>
          <w:rFonts w:cs="Times New Roman"/>
          <w:sz w:val="24"/>
          <w:szCs w:val="24"/>
        </w:rPr>
      </w:pPr>
      <w:r w:rsidRPr="00D314B4">
        <w:rPr>
          <w:rFonts w:cs="Times New Roman"/>
          <w:sz w:val="24"/>
          <w:szCs w:val="24"/>
        </w:rPr>
        <w:t>5.2 Die Einreichung eines Lichtbilds wird nicht verlangt.</w:t>
      </w:r>
    </w:p>
    <w:p w:rsidR="00D314B4" w:rsidRPr="00D314B4" w:rsidRDefault="00D314B4" w:rsidP="00D314B4">
      <w:pPr>
        <w:jc w:val="both"/>
        <w:rPr>
          <w:rFonts w:cs="Times New Roman"/>
          <w:sz w:val="24"/>
          <w:szCs w:val="24"/>
        </w:rPr>
      </w:pPr>
      <w:r w:rsidRPr="00D314B4">
        <w:rPr>
          <w:rFonts w:cs="Times New Roman"/>
          <w:sz w:val="24"/>
          <w:szCs w:val="24"/>
        </w:rPr>
        <w:t xml:space="preserve">5.3 Das innerbetriebliche Bewerbungsverfahren richtet sich nach der Betriebsvereinbarung „Stellenausschreibung“ </w:t>
      </w:r>
      <w:proofErr w:type="gramStart"/>
      <w:r w:rsidRPr="00D314B4">
        <w:rPr>
          <w:rFonts w:cs="Times New Roman"/>
          <w:sz w:val="24"/>
          <w:szCs w:val="24"/>
        </w:rPr>
        <w:t>vom ...</w:t>
      </w:r>
      <w:proofErr w:type="gramEnd"/>
    </w:p>
    <w:p w:rsidR="00D314B4" w:rsidRPr="00D314B4" w:rsidRDefault="00D314B4" w:rsidP="00D314B4">
      <w:pPr>
        <w:jc w:val="both"/>
        <w:rPr>
          <w:rFonts w:cs="Times New Roman"/>
          <w:sz w:val="24"/>
          <w:szCs w:val="24"/>
        </w:rPr>
      </w:pPr>
      <w:r w:rsidRPr="00D314B4">
        <w:rPr>
          <w:rFonts w:cs="Times New Roman"/>
          <w:sz w:val="24"/>
          <w:szCs w:val="24"/>
        </w:rPr>
        <w:t>Die Bewerbungsunterlagen erfolgreicher Bewerberinnen und Bewerber werden Bestandteil der Personalakte.</w:t>
      </w:r>
    </w:p>
    <w:p w:rsidR="00D314B4" w:rsidRPr="00D314B4" w:rsidRDefault="00D314B4" w:rsidP="00D314B4">
      <w:pPr>
        <w:jc w:val="both"/>
        <w:rPr>
          <w:rFonts w:cs="Times New Roman"/>
          <w:sz w:val="24"/>
          <w:szCs w:val="24"/>
        </w:rPr>
      </w:pPr>
      <w:r w:rsidRPr="00D314B4">
        <w:rPr>
          <w:rFonts w:cs="Times New Roman"/>
          <w:sz w:val="24"/>
          <w:szCs w:val="24"/>
        </w:rPr>
        <w:t>Die Bewerbungsunterlagen nicht erfolgreicher Bewerberinnen und Bewerber werden für die Dauer von sechs Monaten nach Ablehnung der Bewerbung aufbewahrt, insbesondere zur Erleichterung der Darlegungs- und Beweislast bei Forderungen gemäß § 15 AGG. Werden keine Forderungen nach Schadensersatz bzw. Entschädigung geltend gemacht, sind die Bewerbungsunterlagen nach Ablauf von sechs Monaten zu vernichten.</w:t>
      </w:r>
    </w:p>
    <w:p w:rsidR="00D314B4" w:rsidRPr="00D314B4" w:rsidRDefault="00D314B4" w:rsidP="00D314B4">
      <w:pPr>
        <w:jc w:val="both"/>
        <w:rPr>
          <w:rFonts w:cs="Times New Roman"/>
          <w:b/>
          <w:sz w:val="24"/>
          <w:szCs w:val="24"/>
        </w:rPr>
      </w:pPr>
      <w:r w:rsidRPr="00D314B4">
        <w:rPr>
          <w:rFonts w:cs="Times New Roman"/>
          <w:b/>
          <w:sz w:val="24"/>
          <w:szCs w:val="24"/>
        </w:rPr>
        <w:t>§ 6 Mitwirkung des Betriebsrats</w:t>
      </w:r>
    </w:p>
    <w:p w:rsidR="00D314B4" w:rsidRPr="00D314B4" w:rsidRDefault="00D314B4" w:rsidP="00D314B4">
      <w:pPr>
        <w:jc w:val="both"/>
        <w:rPr>
          <w:rFonts w:cs="Times New Roman"/>
          <w:sz w:val="24"/>
          <w:szCs w:val="24"/>
        </w:rPr>
      </w:pPr>
      <w:r w:rsidRPr="00D314B4">
        <w:rPr>
          <w:rFonts w:cs="Times New Roman"/>
          <w:sz w:val="24"/>
          <w:szCs w:val="24"/>
        </w:rPr>
        <w:t>6.1 Die Mitwirkungsrechte des Betriebsrats bei Einstellungen und Versetzungen gemäß § 99 BetrVG bleiben unberührt. Dem Betriebsrat werden alle eingegangenen Bewerbungsunterlagen für die Dauer von maximal sieben Kalendertagen überlassen. Dazu gehören auch die Personalfragebogen.</w:t>
      </w:r>
    </w:p>
    <w:p w:rsidR="00D314B4" w:rsidRPr="00D314B4" w:rsidRDefault="00D314B4" w:rsidP="00D314B4">
      <w:pPr>
        <w:jc w:val="both"/>
        <w:rPr>
          <w:rFonts w:cs="Times New Roman"/>
          <w:sz w:val="24"/>
          <w:szCs w:val="24"/>
        </w:rPr>
      </w:pPr>
      <w:r w:rsidRPr="00D314B4">
        <w:rPr>
          <w:rFonts w:cs="Times New Roman"/>
          <w:sz w:val="24"/>
          <w:szCs w:val="24"/>
        </w:rPr>
        <w:t>6.2 Der Betriebsrat hat das Recht, an allen Bewerbungsgesprächen teilzunehmen.</w:t>
      </w:r>
    </w:p>
    <w:p w:rsidR="00D314B4" w:rsidRPr="00D314B4" w:rsidRDefault="00D314B4" w:rsidP="00D314B4">
      <w:pPr>
        <w:jc w:val="both"/>
        <w:rPr>
          <w:rFonts w:cs="Times New Roman"/>
          <w:b/>
          <w:sz w:val="24"/>
          <w:szCs w:val="24"/>
        </w:rPr>
      </w:pPr>
      <w:r w:rsidRPr="00D314B4">
        <w:rPr>
          <w:rFonts w:cs="Times New Roman"/>
          <w:b/>
          <w:sz w:val="24"/>
          <w:szCs w:val="24"/>
        </w:rPr>
        <w:t>§ 7 Schlussbestimmungen</w:t>
      </w:r>
    </w:p>
    <w:p w:rsidR="00D314B4" w:rsidRPr="00D314B4" w:rsidRDefault="00D314B4" w:rsidP="00D314B4">
      <w:pPr>
        <w:jc w:val="both"/>
        <w:rPr>
          <w:rFonts w:cs="Times New Roman"/>
          <w:sz w:val="24"/>
          <w:szCs w:val="24"/>
        </w:rPr>
      </w:pPr>
      <w:r w:rsidRPr="00D314B4">
        <w:rPr>
          <w:rFonts w:cs="Times New Roman"/>
          <w:sz w:val="24"/>
          <w:szCs w:val="24"/>
        </w:rPr>
        <w:t>7.1 Ungültige Bestimmungen berühren nicht die Rechtswirksamkeit der Auswahlrichtlinien insgesamt. Sollten Bestimmungen dieser Auswahlrichtlinien unwirksam sein oder werden oder sollten sich Lücken herausstellen, so wird infolgedessen die Gültigkeit der übrigen Bestimmungen nicht berührt. Anstelle der unwirksamen Bestimmungen oder zur Ausfüllung einer Lücke ist eine angemessene Regelung zu vereinbaren, die, soweit rechtlich und tariflich zulässig, dem am nächsten kommt, was die Betriebsparteien gewollt haben oder nach dem Sinn und Zweck der Auswahlrichtlinien gewollt hätten, sofern sie diesen Punkt bedacht hätten.</w:t>
      </w:r>
    </w:p>
    <w:p w:rsidR="00D314B4" w:rsidRPr="00D314B4" w:rsidRDefault="00D314B4" w:rsidP="00D314B4">
      <w:pPr>
        <w:jc w:val="both"/>
        <w:rPr>
          <w:rFonts w:cs="Times New Roman"/>
          <w:sz w:val="24"/>
          <w:szCs w:val="24"/>
        </w:rPr>
      </w:pPr>
      <w:r w:rsidRPr="00D314B4">
        <w:rPr>
          <w:rFonts w:cs="Times New Roman"/>
          <w:sz w:val="24"/>
          <w:szCs w:val="24"/>
        </w:rPr>
        <w:t>7.2 Diese Auswahlrichtlinien treten am ... in Kraft.</w:t>
      </w:r>
    </w:p>
    <w:p w:rsidR="00D314B4" w:rsidRPr="00D314B4" w:rsidRDefault="00D314B4" w:rsidP="00D314B4">
      <w:pPr>
        <w:jc w:val="both"/>
        <w:rPr>
          <w:rFonts w:cs="Times New Roman"/>
          <w:sz w:val="24"/>
          <w:szCs w:val="24"/>
        </w:rPr>
      </w:pPr>
      <w:r w:rsidRPr="00D314B4">
        <w:rPr>
          <w:rFonts w:cs="Times New Roman"/>
          <w:sz w:val="24"/>
          <w:szCs w:val="24"/>
        </w:rPr>
        <w:t>7.3 Sie können mit einer Frist von sechs Monaten schriftlich gekündigt werden und wirken im Falle ihrer Kündigung nach, bis neue Auswahlrichtlinien abgeschlossen sind.</w:t>
      </w:r>
    </w:p>
    <w:p w:rsidR="00D314B4" w:rsidRPr="00D314B4" w:rsidRDefault="00D314B4" w:rsidP="00D314B4">
      <w:pPr>
        <w:jc w:val="both"/>
        <w:rPr>
          <w:rFonts w:cs="Times New Roman"/>
          <w:sz w:val="24"/>
          <w:szCs w:val="24"/>
        </w:rPr>
      </w:pPr>
      <w:r w:rsidRPr="00D314B4">
        <w:rPr>
          <w:rFonts w:cs="Times New Roman"/>
          <w:sz w:val="24"/>
          <w:szCs w:val="24"/>
        </w:rPr>
        <w:t>..., den ...</w:t>
      </w:r>
    </w:p>
    <w:p w:rsidR="00D314B4" w:rsidRPr="00D314B4" w:rsidRDefault="00D314B4" w:rsidP="00D314B4">
      <w:pPr>
        <w:jc w:val="both"/>
        <w:rPr>
          <w:rFonts w:cs="Times New Roman"/>
          <w:sz w:val="24"/>
          <w:szCs w:val="24"/>
        </w:rPr>
      </w:pPr>
      <w:r w:rsidRPr="00D314B4">
        <w:rPr>
          <w:rFonts w:cs="Times New Roman"/>
          <w:sz w:val="24"/>
          <w:szCs w:val="24"/>
        </w:rPr>
        <w:lastRenderedPageBreak/>
        <w:t>____________________</w:t>
      </w:r>
      <w:r w:rsidRPr="00D314B4">
        <w:rPr>
          <w:rFonts w:cs="Times New Roman"/>
          <w:sz w:val="24"/>
          <w:szCs w:val="24"/>
        </w:rPr>
        <w:tab/>
        <w:t>____________________</w:t>
      </w:r>
    </w:p>
    <w:p w:rsidR="00D314B4" w:rsidRPr="00D314B4" w:rsidRDefault="00D314B4" w:rsidP="00D314B4">
      <w:pPr>
        <w:jc w:val="both"/>
        <w:rPr>
          <w:rFonts w:cs="Times New Roman"/>
          <w:sz w:val="24"/>
          <w:szCs w:val="24"/>
        </w:rPr>
      </w:pPr>
      <w:r w:rsidRPr="00D314B4">
        <w:rPr>
          <w:rFonts w:cs="Times New Roman"/>
          <w:sz w:val="24"/>
          <w:szCs w:val="24"/>
        </w:rPr>
        <w:t>(Geschäftsleitung)</w:t>
      </w:r>
      <w:r w:rsidRPr="00D314B4">
        <w:rPr>
          <w:rFonts w:cs="Times New Roman"/>
          <w:sz w:val="24"/>
          <w:szCs w:val="24"/>
        </w:rPr>
        <w:tab/>
        <w:t>(Betriebsrat)</w:t>
      </w:r>
    </w:p>
    <w:p w:rsidR="00D314B4" w:rsidRPr="00D314B4" w:rsidRDefault="00D314B4" w:rsidP="00D314B4">
      <w:pPr>
        <w:jc w:val="both"/>
        <w:rPr>
          <w:rFonts w:cs="Times New Roman"/>
          <w:b/>
          <w:sz w:val="24"/>
          <w:szCs w:val="24"/>
        </w:rPr>
      </w:pPr>
      <w:r w:rsidRPr="00D314B4">
        <w:rPr>
          <w:rFonts w:cs="Times New Roman"/>
          <w:b/>
          <w:sz w:val="24"/>
          <w:szCs w:val="24"/>
        </w:rPr>
        <w:t>Erläuterungen zur Betriebsvereinbarung insgesamt</w:t>
      </w:r>
    </w:p>
    <w:p w:rsidR="00D314B4" w:rsidRPr="00D314B4" w:rsidRDefault="00D314B4" w:rsidP="00D314B4">
      <w:pPr>
        <w:jc w:val="both"/>
        <w:rPr>
          <w:rFonts w:cs="Times New Roman"/>
          <w:sz w:val="24"/>
          <w:szCs w:val="24"/>
        </w:rPr>
      </w:pPr>
      <w:r w:rsidRPr="00D314B4">
        <w:rPr>
          <w:rFonts w:cs="Times New Roman"/>
          <w:sz w:val="24"/>
          <w:szCs w:val="24"/>
        </w:rPr>
        <w:t>Die Auswahlrichtlinien erstrecken sich auf die Auswahl bei Einstellungen und Kündigungen insgesamt. Möglich ist es auch, die Richtlinien in ihrem Geltungsbereich zu begrenzen. Die Alternative beinhaltet Auswahlrichtlinien für Versetzungen aus personenbedingten Gründen.</w:t>
      </w:r>
    </w:p>
    <w:p w:rsidR="00D314B4" w:rsidRPr="00D314B4" w:rsidRDefault="00D314B4" w:rsidP="00D314B4">
      <w:pPr>
        <w:jc w:val="both"/>
        <w:rPr>
          <w:rFonts w:cs="Times New Roman"/>
          <w:b/>
          <w:sz w:val="24"/>
          <w:szCs w:val="24"/>
        </w:rPr>
      </w:pPr>
      <w:r w:rsidRPr="00D314B4">
        <w:rPr>
          <w:rFonts w:cs="Times New Roman"/>
          <w:b/>
          <w:sz w:val="24"/>
          <w:szCs w:val="24"/>
        </w:rPr>
        <w:t>Erläuterungen zu den einzelnen Vorschriften</w:t>
      </w:r>
    </w:p>
    <w:p w:rsidR="00D314B4" w:rsidRPr="00D314B4" w:rsidRDefault="00D314B4" w:rsidP="00D314B4">
      <w:pPr>
        <w:jc w:val="both"/>
        <w:rPr>
          <w:rFonts w:cs="Times New Roman"/>
          <w:sz w:val="24"/>
          <w:szCs w:val="24"/>
        </w:rPr>
      </w:pPr>
      <w:r w:rsidRPr="00D314B4">
        <w:rPr>
          <w:rFonts w:cs="Times New Roman"/>
          <w:sz w:val="24"/>
          <w:szCs w:val="24"/>
        </w:rPr>
        <w:t>Zu § 1: Auswahlrichtlinien legen verbindliche Kriterien bzw. eine verbindliche Vorgehensweise fest, wie im Einzelfall die personelle Entscheidung zu fällen ist. Dies macht die Auswahl transparent. „Gefälligkeitsentscheidungen“ sind somit kaum möglich. Ziel ist es, möglichst den richtigen Mitarbeiter/die richtige Mitarbeiterin am richtigen Arbeitsplatz einzusetzen. Wichtig ist es, die personelle Entscheidung tatsächlich an sachlichen Kriterien zu orientieren und keine Benachteiligungen zuzulassen. Dieser Punkt ist nach Inkrafttreten des Allgemeinen Gleichbehandlungsgesetzes (AGG) im August 2006 auch bei Auswahlrichtlinien noch bedeutsamer geworden.</w:t>
      </w:r>
    </w:p>
    <w:p w:rsidR="00D314B4" w:rsidRPr="00D314B4" w:rsidRDefault="00D314B4" w:rsidP="00D314B4">
      <w:pPr>
        <w:jc w:val="both"/>
        <w:rPr>
          <w:rFonts w:cs="Times New Roman"/>
          <w:sz w:val="24"/>
          <w:szCs w:val="24"/>
        </w:rPr>
      </w:pPr>
      <w:r w:rsidRPr="00D314B4">
        <w:rPr>
          <w:rFonts w:cs="Times New Roman"/>
          <w:sz w:val="24"/>
          <w:szCs w:val="24"/>
        </w:rPr>
        <w:t>Zu §§ 3 und 6: Bei der Einstellung geht es vor allem um eine „Bestenauslese“. Die sozialen Gesichtspunkte spielen hier eine untergeordnete Rolle. Zur Entscheidungsfindung herangezogen wird u.a. das Bewerbungsgespräch. Dies ist wenig transparent, sofern es keinen standardisierten Gesprächsablauf gibt. Denn im Bewerbungsgespräch spiel</w:t>
      </w:r>
      <w:r>
        <w:rPr>
          <w:rFonts w:cs="Times New Roman"/>
          <w:sz w:val="24"/>
          <w:szCs w:val="24"/>
        </w:rPr>
        <w:t>t</w:t>
      </w:r>
      <w:r w:rsidRPr="00D314B4">
        <w:rPr>
          <w:rFonts w:cs="Times New Roman"/>
          <w:sz w:val="24"/>
          <w:szCs w:val="24"/>
        </w:rPr>
        <w:t xml:space="preserve"> nicht nur das Fachwissen eine Rolle, sondern insbesondere auch das Auftreten des Bewerbers bzw. der Bewerberin. Auch Sympathie und Antipathie kommen hier zum Tragen. Deshalb ist es positiv, dass der Betriebsrat gemäß § 6 dieser Auswahlrichtlinien das Recht hat, an allen Bewerbungsgesprächen teilzunehmen. Ein gesetzlicher Anspruch hierauf besteht nicht. Letztendlich kann eine Teilnahme des Betriebsrats auch dem Arbeitgeber zugutekommen. Je mehr Personen einen Bewerber bzw. eine Bewerberin beurteilen, desto ausgewogener wird das Ergebnis ausfallen. Zudem ist seit Inkrafttreten des Allgemeinen Gleichbehandlungsgesetzes ohnehin kein Arbeitgeber mehr gut beraten, Personalauswahlgespräche alleine zu führen, da bei „Diskriminierungsverdacht“ auf das Unternehmen unter Umständen Schadensersatz- und Entschädigungsforderungen zukommen können.</w:t>
      </w:r>
    </w:p>
    <w:p w:rsidR="00D314B4" w:rsidRPr="00D314B4" w:rsidRDefault="00D314B4" w:rsidP="00D314B4">
      <w:pPr>
        <w:jc w:val="both"/>
        <w:rPr>
          <w:rFonts w:cs="Times New Roman"/>
          <w:sz w:val="24"/>
          <w:szCs w:val="24"/>
        </w:rPr>
      </w:pPr>
      <w:r w:rsidRPr="00D314B4">
        <w:rPr>
          <w:rFonts w:cs="Times New Roman"/>
          <w:sz w:val="24"/>
          <w:szCs w:val="24"/>
        </w:rPr>
        <w:t>Zu § 4: Arbeitgeber und Betriebsrat habe sich auf den Grundsatz „intern vor extern“ verständigt. Dies ist zu begrüßen. Zudem sollte darauf geachtet werden, dass, wenn Personen von außen eingestellt werden, immer der am niedrigsten eingestufte Arbeitsplatz mit einem externen Bewerber oder einer externen Bewerberin besetzt wird und Arbeitnehmerinnen oder Arbeitnehmer des Betriebs auf höher dotierte Stellen befördert werden.</w:t>
      </w:r>
    </w:p>
    <w:p w:rsidR="00D314B4" w:rsidRPr="00D314B4" w:rsidRDefault="00D314B4" w:rsidP="00D314B4">
      <w:pPr>
        <w:jc w:val="both"/>
        <w:rPr>
          <w:rFonts w:cs="Times New Roman"/>
          <w:sz w:val="24"/>
          <w:szCs w:val="24"/>
        </w:rPr>
      </w:pPr>
      <w:r w:rsidRPr="00D314B4">
        <w:rPr>
          <w:rFonts w:cs="Times New Roman"/>
          <w:sz w:val="24"/>
          <w:szCs w:val="24"/>
        </w:rPr>
        <w:lastRenderedPageBreak/>
        <w:t xml:space="preserve">Unterschieden wird zwischen Versetzungen auf gleich- und höherwertige Arbeitsplätze und Versetzungen auf </w:t>
      </w:r>
      <w:proofErr w:type="spellStart"/>
      <w:r w:rsidRPr="00D314B4">
        <w:rPr>
          <w:rFonts w:cs="Times New Roman"/>
          <w:sz w:val="24"/>
          <w:szCs w:val="24"/>
        </w:rPr>
        <w:t>geringerwertige</w:t>
      </w:r>
      <w:proofErr w:type="spellEnd"/>
      <w:r w:rsidRPr="00D314B4">
        <w:rPr>
          <w:rFonts w:cs="Times New Roman"/>
          <w:sz w:val="24"/>
          <w:szCs w:val="24"/>
        </w:rPr>
        <w:t xml:space="preserve"> Arbeitsplätze. Letzteres werden Arbeitnehmer in den meisten Fällen nicht freiwillig hinnehmen wollen. Häufig wird hier – je nach Ausgestaltung des Arbeitsvertrags – eine Änderungskündigung erforderlich sein. Der Betriebsrat ist dann sowohl zur Kündigung (§ 102 BetrVG) anzuhören als auch bei der Versetzung (§ 99 BetrVG) zu beteiligen. Bei der Versetzung auf </w:t>
      </w:r>
      <w:proofErr w:type="spellStart"/>
      <w:r w:rsidRPr="00D314B4">
        <w:rPr>
          <w:rFonts w:cs="Times New Roman"/>
          <w:sz w:val="24"/>
          <w:szCs w:val="24"/>
        </w:rPr>
        <w:t>geringerwertige</w:t>
      </w:r>
      <w:proofErr w:type="spellEnd"/>
      <w:r w:rsidRPr="00D314B4">
        <w:rPr>
          <w:rFonts w:cs="Times New Roman"/>
          <w:sz w:val="24"/>
          <w:szCs w:val="24"/>
        </w:rPr>
        <w:t xml:space="preserve"> Arbeitsplätze kommt den sozialen Gesichtspunkten große Bedeutung zu. Letztendlich ist die Frage zu beantworten, welcher Arbeitnehmer am wenigsten schutzbedürftig ist (geringe Betriebszugehörigkeit, wenig oder keine Unterhaltspflichten usw.).</w:t>
      </w:r>
    </w:p>
    <w:p w:rsidR="00D314B4" w:rsidRPr="00D314B4" w:rsidRDefault="00D314B4" w:rsidP="00D314B4">
      <w:pPr>
        <w:jc w:val="both"/>
        <w:rPr>
          <w:rFonts w:cs="Times New Roman"/>
          <w:sz w:val="24"/>
          <w:szCs w:val="24"/>
        </w:rPr>
      </w:pPr>
      <w:r w:rsidRPr="00D314B4">
        <w:rPr>
          <w:rFonts w:cs="Times New Roman"/>
          <w:sz w:val="24"/>
          <w:szCs w:val="24"/>
        </w:rPr>
        <w:t>Möglichst sollen die Arbeitnehmer wenigstens zwölf Monate auf einem Arbeitsplatz verbleiben, bevor sie ein Versetzungsinteresse geltend machen. Hiervon kann und sollte allerdings bei so schwerwiegenden Problemen wie Mobbing abgewichen werden. Dabei ist allerdings darauf zu achten, dass nicht das Mobbingopfer auch noch seinen angestammten Arbeitsplatz verlassen muss und der Mobbingtäter somit sein Ziel erreicht. Hier ist viel Fingerspitzengefühl gefragt, um die richtige Lösung zu finden.</w:t>
      </w:r>
    </w:p>
    <w:p w:rsidR="00D314B4" w:rsidRPr="00D314B4" w:rsidRDefault="00D314B4" w:rsidP="00D314B4">
      <w:pPr>
        <w:jc w:val="both"/>
        <w:rPr>
          <w:rFonts w:cs="Times New Roman"/>
          <w:sz w:val="24"/>
          <w:szCs w:val="24"/>
        </w:rPr>
      </w:pPr>
      <w:r w:rsidRPr="00D314B4">
        <w:rPr>
          <w:rFonts w:cs="Times New Roman"/>
          <w:sz w:val="24"/>
          <w:szCs w:val="24"/>
        </w:rPr>
        <w:t>Herauszustellen ist der letzte Abschnitt. Will jemand eine Position mit Weisungsbefugnis einnehmen, muss er entsprechende Fähigkeiten nachweisen. Daran fehlt es leider in der betrieblichen Praxis nur allzu oft. Positiv ist auch, dass das Unternehmen entsprechende Kurse selbst anbietet. Der Betriebsrat hat ein Mitbestimmungsrecht gemäß § 98 BetrVG.</w:t>
      </w:r>
    </w:p>
    <w:p w:rsidR="00D314B4" w:rsidRPr="00D314B4" w:rsidRDefault="00D314B4" w:rsidP="00D314B4">
      <w:pPr>
        <w:jc w:val="both"/>
        <w:rPr>
          <w:rFonts w:cs="Times New Roman"/>
          <w:sz w:val="24"/>
          <w:szCs w:val="24"/>
        </w:rPr>
      </w:pPr>
      <w:r w:rsidRPr="00D314B4">
        <w:rPr>
          <w:rFonts w:cs="Times New Roman"/>
          <w:sz w:val="24"/>
          <w:szCs w:val="24"/>
        </w:rPr>
        <w:t>Zu § 5: Der Betriebsrat hat ein Mitbestimmungsrecht gemäß § 94 Abs. 1 BetrVG beim Einsatz von Personalfragebogen. Damit soll verhindert werden, dass Persönlichkeitsrechte der Beschäftigten oder der Bewerber durch allzu neugierige Fragen des Arbeitgebers gefährdet werden. Verboten sind beispielsweise Fragen nach einer Schwangerschaft, der Familienplanung oder der Gewerkschaftszugehörigkeit. Auch die Frage nach dem Alter ist mit Hinblick auf eine mögliche Benachteiligung zu vermeiden. Dies wird nach Inkrafttreten des Allgemeinen Gleichbehandlungsgesetzes nun auch für die Frage nach der Schwerbehinderung zu gelten haben. Lichtbilder können Anlass bieten für Diskriminierungen wegen eines der in § 1 AGG genannten Merkmale.</w:t>
      </w:r>
    </w:p>
    <w:p w:rsidR="00D314B4" w:rsidRPr="00D314B4" w:rsidRDefault="00D314B4" w:rsidP="00D314B4">
      <w:pPr>
        <w:jc w:val="both"/>
        <w:rPr>
          <w:rFonts w:cs="Times New Roman"/>
          <w:sz w:val="24"/>
          <w:szCs w:val="24"/>
        </w:rPr>
      </w:pPr>
      <w:r w:rsidRPr="00D314B4">
        <w:rPr>
          <w:rFonts w:cs="Times New Roman"/>
          <w:sz w:val="24"/>
          <w:szCs w:val="24"/>
        </w:rPr>
        <w:t>Zudem geht § 5 auf mögliche Forderungen abgelehnter Bewerber ein. Zwar spricht § 15 Abs. 4 AGG von einer Geltendmachungsfrist von zwei Monaten. Da dies aber gegenüber der vorher gültigen Regelung des § 611a BGB (sechs Monate) eine (nicht erlaubte) Verschlechterung darstellt, ist davon auszugehen, dass zumindest bei einer Benachteiligung wegen des Geschlechts auch eine Geltendmachung nach Ablauf von zwei Monaten noch möglich sein wird.</w:t>
      </w:r>
    </w:p>
    <w:p w:rsidR="00D314B4" w:rsidRPr="00D314B4" w:rsidRDefault="00D314B4" w:rsidP="00D314B4">
      <w:pPr>
        <w:jc w:val="both"/>
        <w:rPr>
          <w:rFonts w:cs="Times New Roman"/>
          <w:sz w:val="24"/>
          <w:szCs w:val="24"/>
        </w:rPr>
      </w:pPr>
      <w:r w:rsidRPr="00D314B4">
        <w:rPr>
          <w:rFonts w:cs="Times New Roman"/>
          <w:sz w:val="24"/>
          <w:szCs w:val="24"/>
        </w:rPr>
        <w:t>Die Einstellung lässt sich übrigens auch bei einer nachgewiesenen Benachteiligung nicht erzwingen. Es geht ausschließlich um die Geltendmachung von Schadensersatz für materielle Schäden und Entschädigungen für immaterielle Schäden.</w:t>
      </w:r>
    </w:p>
    <w:p w:rsidR="00D314B4" w:rsidRPr="00D314B4" w:rsidRDefault="00D314B4" w:rsidP="00D314B4">
      <w:pPr>
        <w:jc w:val="both"/>
        <w:rPr>
          <w:rFonts w:cs="Times New Roman"/>
          <w:sz w:val="24"/>
          <w:szCs w:val="24"/>
        </w:rPr>
      </w:pPr>
      <w:r w:rsidRPr="00D314B4">
        <w:rPr>
          <w:rFonts w:cs="Times New Roman"/>
          <w:sz w:val="24"/>
          <w:szCs w:val="24"/>
        </w:rPr>
        <w:lastRenderedPageBreak/>
        <w:t>Zu § 7: Der erste Abschnitt von § 7 enthält eine sog. salvatorische Klausel. Damit stellen Arbeitgeber und Betriebsrat sicher, dass nicht die ganzen Auswahlrichtlinien ungültig werden, wenn einzelne Bestimmungen nicht wirksam oder lückenhaft sind.</w:t>
      </w:r>
    </w:p>
    <w:p w:rsidR="00D314B4" w:rsidRPr="00D314B4" w:rsidRDefault="00D314B4" w:rsidP="00D314B4">
      <w:pPr>
        <w:jc w:val="both"/>
        <w:rPr>
          <w:rFonts w:cs="Times New Roman"/>
          <w:sz w:val="24"/>
          <w:szCs w:val="24"/>
        </w:rPr>
      </w:pPr>
      <w:r w:rsidRPr="00D314B4">
        <w:rPr>
          <w:rFonts w:cs="Times New Roman"/>
          <w:sz w:val="24"/>
          <w:szCs w:val="24"/>
        </w:rPr>
        <w:t>Eine gesetzliche Nachwirkung besteht dann, wenn dem Betriebsrat ein über die Einigungsstelle durchsetzbares Mitbestimmungsrecht zusteht. Erzwingen kann er Auswahlrichtlinien in Betrieben mit mehr als 500 Beschäftigten. In kleineren Betrieben können Arbeitgeber und Betriebsrat jedoch die Nachwirkung vereinbaren.</w:t>
      </w:r>
    </w:p>
    <w:sectPr w:rsidR="00D314B4" w:rsidRPr="00D314B4"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D314B4"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D314B4">
      <w:rPr>
        <w:b/>
        <w:color w:val="A6A6A6" w:themeColor="background1" w:themeShade="A6"/>
        <w:sz w:val="16"/>
        <w:szCs w:val="16"/>
        <w:lang w:val="en-US"/>
      </w:rPr>
      <w:t xml:space="preserve">KG | </w:t>
    </w:r>
    <w:r w:rsidR="005B4314" w:rsidRPr="00D314B4">
      <w:rPr>
        <w:b/>
        <w:color w:val="A6A6A6" w:themeColor="background1" w:themeShade="A6"/>
        <w:sz w:val="16"/>
        <w:szCs w:val="16"/>
        <w:lang w:val="en-US"/>
      </w:rPr>
      <w:t>Jan</w:t>
    </w:r>
    <w:r w:rsidR="00CD4983" w:rsidRPr="00D314B4">
      <w:rPr>
        <w:b/>
        <w:color w:val="A6A6A6" w:themeColor="background1" w:themeShade="A6"/>
        <w:sz w:val="16"/>
        <w:szCs w:val="16"/>
        <w:lang w:val="en-US"/>
      </w:rPr>
      <w:t xml:space="preserve"> 201</w:t>
    </w:r>
    <w:r w:rsidR="005B4314" w:rsidRPr="00D314B4">
      <w:rPr>
        <w:b/>
        <w:color w:val="A6A6A6" w:themeColor="background1" w:themeShade="A6"/>
        <w:sz w:val="16"/>
        <w:szCs w:val="16"/>
        <w:lang w:val="en-US"/>
      </w:rPr>
      <w:t>9</w:t>
    </w:r>
    <w:r w:rsidR="00645C6A" w:rsidRPr="00D314B4">
      <w:rPr>
        <w:b/>
        <w:color w:val="A6A6A6" w:themeColor="background1" w:themeShade="A6"/>
        <w:sz w:val="16"/>
        <w:szCs w:val="16"/>
        <w:lang w:val="en-US"/>
      </w:rPr>
      <w:t xml:space="preserve"> | </w:t>
    </w:r>
    <w:hyperlink r:id="rId2" w:history="1">
      <w:r w:rsidRPr="00D314B4">
        <w:rPr>
          <w:rStyle w:val="Hyperlink"/>
          <w:b/>
          <w:sz w:val="16"/>
          <w:szCs w:val="16"/>
          <w:lang w:val="en-US"/>
        </w:rPr>
        <w:t>www.betriebsrat-kompakt.de</w:t>
      </w:r>
    </w:hyperlink>
    <w:r w:rsidRPr="00D314B4">
      <w:rPr>
        <w:b/>
        <w:color w:val="A6A6A6" w:themeColor="background1" w:themeShade="A6"/>
        <w:sz w:val="16"/>
        <w:szCs w:val="16"/>
        <w:lang w:val="en-US"/>
      </w:rPr>
      <w:t xml:space="preserve"> | </w:t>
    </w:r>
    <w:hyperlink r:id="rId3" w:history="1">
      <w:r w:rsidRPr="00D314B4">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1749D"/>
    <w:multiLevelType w:val="hybridMultilevel"/>
    <w:tmpl w:val="0B645A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BD5521F"/>
    <w:multiLevelType w:val="hybridMultilevel"/>
    <w:tmpl w:val="4DD8B1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05C38C8"/>
    <w:multiLevelType w:val="hybridMultilevel"/>
    <w:tmpl w:val="2FF2B6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F9E5A59"/>
    <w:multiLevelType w:val="hybridMultilevel"/>
    <w:tmpl w:val="9F9EF4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3"/>
  </w:num>
  <w:num w:numId="3">
    <w:abstractNumId w:val="5"/>
  </w:num>
  <w:num w:numId="4">
    <w:abstractNumId w:val="4"/>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8"/>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14B4"/>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D314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D314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Apr_Einstellunge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1655</Words>
  <Characters>10427</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2019-03-15T09:27:00Z</dcterms:created>
  <dcterms:modified xsi:type="dcterms:W3CDTF">2019-03-15T09:27:00Z</dcterms:modified>
</cp:coreProperties>
</file>