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A4D" w14:textId="77777777" w:rsidR="00645C6A" w:rsidRPr="0043100C" w:rsidRDefault="00645C6A"/>
    <w:p w14:paraId="2F9E4D66" w14:textId="041EFCFB" w:rsidR="00B135C6" w:rsidRDefault="005112F4" w:rsidP="00960570">
      <w:pPr>
        <w:autoSpaceDE w:val="0"/>
        <w:autoSpaceDN w:val="0"/>
        <w:adjustRightInd w:val="0"/>
        <w:spacing w:after="120"/>
        <w:rPr>
          <w:rFonts w:cs="Times New Roman"/>
          <w:b/>
          <w:color w:val="943634" w:themeColor="accent2" w:themeShade="BF"/>
          <w:sz w:val="28"/>
          <w:szCs w:val="28"/>
        </w:rPr>
      </w:pPr>
      <w:r w:rsidRPr="005112F4">
        <w:rPr>
          <w:rFonts w:cs="Times New Roman"/>
          <w:b/>
          <w:color w:val="943634" w:themeColor="accent2" w:themeShade="BF"/>
          <w:sz w:val="28"/>
          <w:szCs w:val="28"/>
        </w:rPr>
        <w:t>Wirtschaftsausschuss: Musterbetriebsvereinbarung zu Fragen des Wirtschaftsausschusses</w:t>
      </w:r>
      <w:r w:rsidR="00B135C6" w:rsidRPr="00B135C6">
        <w:rPr>
          <w:rFonts w:cs="Times New Roman"/>
          <w:b/>
          <w:color w:val="943634" w:themeColor="accent2" w:themeShade="BF"/>
          <w:sz w:val="28"/>
          <w:szCs w:val="28"/>
        </w:rPr>
        <w:t xml:space="preserve"> </w:t>
      </w:r>
    </w:p>
    <w:p w14:paraId="13BF2DB3" w14:textId="77777777" w:rsidR="00B135C6" w:rsidRPr="00B135C6" w:rsidRDefault="00B135C6" w:rsidP="00B135C6">
      <w:pPr>
        <w:autoSpaceDE w:val="0"/>
        <w:autoSpaceDN w:val="0"/>
        <w:adjustRightInd w:val="0"/>
        <w:spacing w:after="120"/>
        <w:rPr>
          <w:rFonts w:cs="Calibri"/>
          <w:b/>
          <w:bCs/>
          <w:sz w:val="24"/>
          <w:szCs w:val="24"/>
        </w:rPr>
      </w:pPr>
    </w:p>
    <w:p w14:paraId="1D5F53D3"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 xml:space="preserve">Zwischen </w:t>
      </w:r>
    </w:p>
    <w:p w14:paraId="6D1F92E7"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der Mustermann GmbH, vertreten durch den Geschäftsführer Max Mustermann, Musterstraße 123, 45678 Musterstadt (im Weiteren „Arbeitgeberin“)</w:t>
      </w:r>
    </w:p>
    <w:p w14:paraId="6F538C2B"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und</w:t>
      </w:r>
    </w:p>
    <w:p w14:paraId="73354F52"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dem Betriebsrat der Mustermann GmbH, vertreten durch die Betriebsratsvorsitzende Maria Fuchs, Musterstraße 123, 45678 Musterstadt (im Weiteren „Betriebsrat“)</w:t>
      </w:r>
    </w:p>
    <w:p w14:paraId="5F30E6D0"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 xml:space="preserve">wird folgende </w:t>
      </w:r>
      <w:r>
        <w:rPr>
          <w:rStyle w:val="Fett"/>
          <w:color w:val="auto"/>
        </w:rPr>
        <w:t>Betriebsvereinbarung über Pflegevisiten</w:t>
      </w:r>
      <w:r>
        <w:rPr>
          <w:color w:val="auto"/>
        </w:rPr>
        <w:t xml:space="preserve"> geschlossen:</w:t>
      </w:r>
    </w:p>
    <w:p w14:paraId="7213944C" w14:textId="77777777" w:rsidR="005112F4" w:rsidRDefault="005112F4" w:rsidP="005112F4">
      <w:pPr>
        <w:pStyle w:val="Textblock"/>
        <w:numPr>
          <w:ilvl w:val="0"/>
          <w:numId w:val="0"/>
        </w:numPr>
        <w:tabs>
          <w:tab w:val="left" w:pos="425"/>
          <w:tab w:val="left" w:pos="851"/>
        </w:tabs>
        <w:spacing w:before="60" w:after="60" w:line="280" w:lineRule="exact"/>
        <w:rPr>
          <w:rStyle w:val="Fett"/>
          <w:color w:val="auto"/>
        </w:rPr>
      </w:pPr>
    </w:p>
    <w:p w14:paraId="742D2689" w14:textId="77777777" w:rsidR="005112F4" w:rsidRDefault="005112F4" w:rsidP="005112F4">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Präambel</w:t>
      </w:r>
    </w:p>
    <w:p w14:paraId="032C4A96" w14:textId="77777777" w:rsidR="005112F4" w:rsidRDefault="005112F4" w:rsidP="005112F4">
      <w:pPr>
        <w:pStyle w:val="Textblock"/>
        <w:numPr>
          <w:ilvl w:val="0"/>
          <w:numId w:val="0"/>
        </w:numPr>
        <w:tabs>
          <w:tab w:val="left" w:pos="425"/>
          <w:tab w:val="left" w:pos="851"/>
        </w:tabs>
        <w:spacing w:before="60" w:after="60" w:line="280" w:lineRule="exact"/>
      </w:pPr>
      <w:r>
        <w:rPr>
          <w:color w:val="auto"/>
        </w:rPr>
        <w:t>Die Betriebsparteien stimmen darin überein, mit dieser Betriebsvereinbarung einige typische Streitpunkte im Vorfeld zu regeln, um künftige Konflikte möglichst zu vermeiden. Ein Verzicht auf gesetzliche Ansprüche der Betriebsparteien untereinander ist damit nicht verbunden.</w:t>
      </w:r>
    </w:p>
    <w:p w14:paraId="553616DC" w14:textId="77777777" w:rsidR="005112F4" w:rsidRDefault="005112F4" w:rsidP="005112F4">
      <w:pPr>
        <w:pStyle w:val="Textblock"/>
        <w:numPr>
          <w:ilvl w:val="0"/>
          <w:numId w:val="0"/>
        </w:numPr>
        <w:tabs>
          <w:tab w:val="left" w:pos="425"/>
          <w:tab w:val="left" w:pos="851"/>
        </w:tabs>
        <w:spacing w:before="60" w:after="60" w:line="280" w:lineRule="exact"/>
        <w:rPr>
          <w:rStyle w:val="Fett"/>
          <w:color w:val="auto"/>
        </w:rPr>
      </w:pPr>
    </w:p>
    <w:p w14:paraId="1717E2DF" w14:textId="77777777" w:rsidR="005112F4" w:rsidRDefault="005112F4" w:rsidP="005112F4">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1 Geltungsbereich</w:t>
      </w:r>
    </w:p>
    <w:p w14:paraId="0A67538A" w14:textId="77777777" w:rsidR="005112F4" w:rsidRDefault="005112F4" w:rsidP="005112F4">
      <w:pPr>
        <w:pStyle w:val="Textblock"/>
        <w:numPr>
          <w:ilvl w:val="0"/>
          <w:numId w:val="0"/>
        </w:numPr>
        <w:tabs>
          <w:tab w:val="left" w:pos="425"/>
          <w:tab w:val="left" w:pos="851"/>
        </w:tabs>
        <w:spacing w:before="60" w:after="60" w:line="280" w:lineRule="exact"/>
      </w:pPr>
      <w:r>
        <w:rPr>
          <w:color w:val="auto"/>
        </w:rPr>
        <w:t xml:space="preserve">Diese Betriebsvereinbarung gilt für den Betrieb/das Unternehmen </w:t>
      </w:r>
      <w:proofErr w:type="gramStart"/>
      <w:r>
        <w:rPr>
          <w:color w:val="auto"/>
        </w:rPr>
        <w:t>… .</w:t>
      </w:r>
      <w:proofErr w:type="gramEnd"/>
    </w:p>
    <w:p w14:paraId="38FC9665" w14:textId="77777777" w:rsidR="005112F4" w:rsidRDefault="005112F4" w:rsidP="005112F4">
      <w:pPr>
        <w:pStyle w:val="Textblock"/>
        <w:numPr>
          <w:ilvl w:val="0"/>
          <w:numId w:val="0"/>
        </w:numPr>
        <w:tabs>
          <w:tab w:val="left" w:pos="425"/>
          <w:tab w:val="left" w:pos="851"/>
        </w:tabs>
        <w:spacing w:before="60" w:after="60" w:line="280" w:lineRule="exact"/>
        <w:rPr>
          <w:rStyle w:val="Fett"/>
          <w:color w:val="auto"/>
        </w:rPr>
      </w:pPr>
    </w:p>
    <w:p w14:paraId="4D22828C" w14:textId="77777777" w:rsidR="005112F4" w:rsidRDefault="005112F4" w:rsidP="005112F4">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2 Sitzungen des Wirtschaftsausschusses</w:t>
      </w:r>
    </w:p>
    <w:p w14:paraId="3FF7173E" w14:textId="77777777" w:rsidR="005112F4" w:rsidRDefault="005112F4" w:rsidP="005112F4">
      <w:pPr>
        <w:pStyle w:val="Textblock"/>
        <w:numPr>
          <w:ilvl w:val="0"/>
          <w:numId w:val="0"/>
        </w:numPr>
        <w:tabs>
          <w:tab w:val="left" w:pos="425"/>
          <w:tab w:val="left" w:pos="851"/>
        </w:tabs>
        <w:spacing w:before="60" w:after="60" w:line="280" w:lineRule="exact"/>
      </w:pPr>
      <w:r>
        <w:rPr>
          <w:color w:val="auto"/>
        </w:rPr>
        <w:t>Die regelmäßigen turnusmäßigen Sitzungen finden monatlich jeweils am dritten Dienstag des Monats statt, an der ein Vertreter der Arbeitgeberin teilnimmt.</w:t>
      </w:r>
    </w:p>
    <w:p w14:paraId="05436BF6"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Bereits vor der turnusmäßigen Sitzung kann der Wirtschaftsausschuss am Vortag oder an einem anderen mit den Betriebsparteien abzustimmenden Termin eine Vorbesprechung stattfinden lassen, an der Vorbesprechung nimmt die Arbeitgeberseite nicht teil. Das Gleiche gilt für eine Sitzung zur Nachbereitung der Wirtschaftsausschusssitzung, die am Tag nach der turnusmäßigen Wirtschaftsausschusssitzung stattfinden kann.</w:t>
      </w:r>
    </w:p>
    <w:p w14:paraId="069165F5"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Sitzungen des Wirtschaftsausschusses finden grundsätzlich in der Arbeitszeit statt. Die Wirtschaftsausschussmitglieder werden zur Teilnahme an den Sitzungen unter Fortzahlung der Bezüge freigestellt.</w:t>
      </w:r>
    </w:p>
    <w:p w14:paraId="13011437"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Der Wirtschaftsausschussvorsitzende oder dasjenige Wirtschaftsausschussmitglied, welches die Sitzungen des Wirtschaftsausschusses vorbereitet, erhält zusätzlich zur Erledigung anfallender Vor- und Nacharbeiten eine Freistellung von bis zu acht Stunden/Monat.</w:t>
      </w:r>
    </w:p>
    <w:p w14:paraId="2B713BE7" w14:textId="77777777" w:rsidR="005112F4" w:rsidRDefault="005112F4" w:rsidP="005112F4">
      <w:pPr>
        <w:pStyle w:val="Textblock"/>
        <w:numPr>
          <w:ilvl w:val="0"/>
          <w:numId w:val="0"/>
        </w:numPr>
        <w:tabs>
          <w:tab w:val="left" w:pos="425"/>
          <w:tab w:val="left" w:pos="851"/>
        </w:tabs>
        <w:spacing w:before="60" w:after="60" w:line="280" w:lineRule="exact"/>
        <w:rPr>
          <w:rStyle w:val="Fett"/>
          <w:color w:val="auto"/>
        </w:rPr>
      </w:pPr>
    </w:p>
    <w:p w14:paraId="3213D00E" w14:textId="77777777" w:rsidR="005112F4" w:rsidRDefault="005112F4" w:rsidP="005112F4">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3 Information des Betriebsrats</w:t>
      </w:r>
    </w:p>
    <w:p w14:paraId="3D217956" w14:textId="77777777" w:rsidR="005112F4" w:rsidRDefault="005112F4" w:rsidP="005112F4">
      <w:pPr>
        <w:pStyle w:val="Textblock"/>
        <w:numPr>
          <w:ilvl w:val="0"/>
          <w:numId w:val="0"/>
        </w:numPr>
        <w:tabs>
          <w:tab w:val="left" w:pos="425"/>
          <w:tab w:val="left" w:pos="851"/>
        </w:tabs>
        <w:spacing w:before="60" w:after="60" w:line="280" w:lineRule="exact"/>
      </w:pPr>
      <w:r>
        <w:rPr>
          <w:color w:val="auto"/>
        </w:rPr>
        <w:lastRenderedPageBreak/>
        <w:t>Der Wirtschaftsausschuss informiert den Betriebsrat über die stattgefundene Wirtschaftsausschusssitzung und die darin gewonnenen Erkenntnisse. Dies erfolgt grundsätzlich in der nächsten, spätestens der übernächsten turnusmäßigen Betriebsratssitzung nach der Wirtschaftsausschusssitzung. Die Information kann zudem erforderlichenfalls auch in einer außerordentlichen Betriebsratssitzung erteilt werden.</w:t>
      </w:r>
    </w:p>
    <w:p w14:paraId="4838A053" w14:textId="77777777" w:rsidR="005112F4" w:rsidRDefault="005112F4" w:rsidP="005112F4">
      <w:pPr>
        <w:pStyle w:val="Textblock"/>
        <w:numPr>
          <w:ilvl w:val="0"/>
          <w:numId w:val="0"/>
        </w:numPr>
        <w:tabs>
          <w:tab w:val="left" w:pos="425"/>
          <w:tab w:val="left" w:pos="851"/>
        </w:tabs>
        <w:spacing w:before="60" w:after="60" w:line="280" w:lineRule="exact"/>
        <w:rPr>
          <w:rStyle w:val="Fett"/>
          <w:color w:val="auto"/>
        </w:rPr>
      </w:pPr>
    </w:p>
    <w:p w14:paraId="3F6B5FF4" w14:textId="77777777" w:rsidR="005112F4" w:rsidRDefault="005112F4" w:rsidP="005112F4">
      <w:pPr>
        <w:pStyle w:val="Textblock"/>
        <w:numPr>
          <w:ilvl w:val="0"/>
          <w:numId w:val="0"/>
        </w:numPr>
        <w:tabs>
          <w:tab w:val="left" w:pos="425"/>
          <w:tab w:val="left" w:pos="851"/>
        </w:tabs>
        <w:spacing w:before="60" w:after="60" w:line="280" w:lineRule="exact"/>
        <w:jc w:val="center"/>
        <w:rPr>
          <w:rStyle w:val="Fett"/>
          <w:color w:val="auto"/>
        </w:rPr>
      </w:pPr>
      <w:r>
        <w:rPr>
          <w:rStyle w:val="Fett"/>
          <w:color w:val="auto"/>
          <w:sz w:val="24"/>
        </w:rPr>
        <w:t>§ 4 Schulungen</w:t>
      </w:r>
    </w:p>
    <w:p w14:paraId="154CD847" w14:textId="77777777" w:rsidR="005112F4" w:rsidRDefault="005112F4" w:rsidP="005112F4">
      <w:pPr>
        <w:pStyle w:val="Textblock"/>
        <w:numPr>
          <w:ilvl w:val="0"/>
          <w:numId w:val="0"/>
        </w:numPr>
        <w:tabs>
          <w:tab w:val="left" w:pos="425"/>
          <w:tab w:val="left" w:pos="851"/>
        </w:tabs>
        <w:spacing w:before="60" w:after="60" w:line="280" w:lineRule="exact"/>
      </w:pPr>
      <w:r>
        <w:rPr>
          <w:color w:val="auto"/>
        </w:rPr>
        <w:t>Die Betriebsparteien stimmen darin überein, dass alle Mitglieder des Wirtschaftsausschusses – gleich, ob sie zugleich Betriebsratsmitglieder sind oder nicht – an erforderlichen Wirtschaftsausschussschulungen teilnehmen können unter Kostenübernahme durch die Arbeitgeberin und unter Freistellung von der Arbeitspflicht und Entgeltfortzahlung. Es gelten insoweit die §§ 40, 37 Abs. 6 BetrVG entsprechend.</w:t>
      </w:r>
    </w:p>
    <w:p w14:paraId="4011DDF4"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Erforderlich sind jedenfalls für alle Mitglieder des Wirtschaftsausschusses folgende Schulungen:</w:t>
      </w:r>
    </w:p>
    <w:p w14:paraId="087CC265" w14:textId="77777777" w:rsidR="005112F4" w:rsidRDefault="005112F4" w:rsidP="005112F4">
      <w:pPr>
        <w:pStyle w:val="Liste1alphabetisch"/>
        <w:numPr>
          <w:ilvl w:val="0"/>
          <w:numId w:val="9"/>
        </w:numPr>
        <w:tabs>
          <w:tab w:val="left" w:pos="425"/>
          <w:tab w:val="left" w:pos="851"/>
        </w:tabs>
        <w:spacing w:before="60" w:after="60" w:line="280" w:lineRule="exact"/>
        <w:ind w:left="425" w:hanging="425"/>
        <w:rPr>
          <w:color w:val="auto"/>
        </w:rPr>
      </w:pPr>
      <w:r>
        <w:rPr>
          <w:color w:val="auto"/>
        </w:rPr>
        <w:t>Schulungen über die (betriebsverfassungs-)rechtlichen Hintergründe des Wirtschaftsausschusses und seiner Arbeit,</w:t>
      </w:r>
    </w:p>
    <w:p w14:paraId="353A4D9F" w14:textId="77777777" w:rsidR="005112F4" w:rsidRDefault="005112F4" w:rsidP="005112F4">
      <w:pPr>
        <w:pStyle w:val="Liste1alphabetisch"/>
        <w:numPr>
          <w:ilvl w:val="0"/>
          <w:numId w:val="9"/>
        </w:numPr>
        <w:tabs>
          <w:tab w:val="left" w:pos="425"/>
          <w:tab w:val="left" w:pos="851"/>
        </w:tabs>
        <w:spacing w:before="60" w:after="60" w:line="280" w:lineRule="exact"/>
        <w:ind w:left="425" w:hanging="425"/>
        <w:rPr>
          <w:color w:val="auto"/>
        </w:rPr>
      </w:pPr>
      <w:r>
        <w:rPr>
          <w:color w:val="auto"/>
        </w:rPr>
        <w:t xml:space="preserve">Schulungen über erforderliches betriebs- und volkswirtschaftliches Wissen, </w:t>
      </w:r>
      <w:proofErr w:type="gramStart"/>
      <w:r>
        <w:rPr>
          <w:color w:val="auto"/>
        </w:rPr>
        <w:t>insbesondere</w:t>
      </w:r>
      <w:proofErr w:type="gramEnd"/>
      <w:r>
        <w:rPr>
          <w:color w:val="auto"/>
        </w:rPr>
        <w:t xml:space="preserve"> soweit dies zur Beurteilung der wirtschaftlichen Lage des Unternehmens erforderlich ist.</w:t>
      </w:r>
    </w:p>
    <w:p w14:paraId="18C097B1" w14:textId="77777777" w:rsidR="005112F4" w:rsidRDefault="005112F4" w:rsidP="005112F4">
      <w:pPr>
        <w:pStyle w:val="Textblock"/>
        <w:numPr>
          <w:ilvl w:val="0"/>
          <w:numId w:val="0"/>
        </w:numPr>
        <w:tabs>
          <w:tab w:val="left" w:pos="425"/>
          <w:tab w:val="left" w:pos="851"/>
        </w:tabs>
        <w:spacing w:before="60" w:after="60" w:line="280" w:lineRule="exact"/>
        <w:rPr>
          <w:rStyle w:val="Fett"/>
          <w:color w:val="auto"/>
        </w:rPr>
      </w:pPr>
    </w:p>
    <w:p w14:paraId="2F882D5B" w14:textId="77777777" w:rsidR="005112F4" w:rsidRDefault="005112F4" w:rsidP="005112F4">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5 Vorlage von Unterlagen und Erteilung von Auskünften</w:t>
      </w:r>
    </w:p>
    <w:p w14:paraId="1640BD8C" w14:textId="77777777" w:rsidR="005112F4" w:rsidRDefault="005112F4" w:rsidP="005112F4">
      <w:pPr>
        <w:pStyle w:val="Textblock"/>
        <w:numPr>
          <w:ilvl w:val="0"/>
          <w:numId w:val="0"/>
        </w:numPr>
        <w:tabs>
          <w:tab w:val="left" w:pos="425"/>
          <w:tab w:val="left" w:pos="851"/>
        </w:tabs>
        <w:spacing w:before="60" w:after="60" w:line="280" w:lineRule="exact"/>
      </w:pPr>
      <w:r>
        <w:rPr>
          <w:color w:val="auto"/>
        </w:rPr>
        <w:t>Die Arbeitgeberin erteilt dem Wirtschaftsausschuss sämtliche erforderlichen Auskünfte und gewährt Einblick in erforderliche Unterlagen.</w:t>
      </w:r>
    </w:p>
    <w:p w14:paraId="4CB47442"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Mindestens sind Auskünfte und Unterlagen zu folgenden Fragen stets erforderlich:</w:t>
      </w:r>
    </w:p>
    <w:p w14:paraId="41DCDDFF" w14:textId="77777777" w:rsidR="005112F4" w:rsidRDefault="005112F4" w:rsidP="005112F4">
      <w:pPr>
        <w:pStyle w:val="Liste1alphabetisch"/>
        <w:numPr>
          <w:ilvl w:val="0"/>
          <w:numId w:val="10"/>
        </w:numPr>
        <w:tabs>
          <w:tab w:val="left" w:pos="425"/>
          <w:tab w:val="left" w:pos="851"/>
        </w:tabs>
        <w:spacing w:before="60" w:after="60" w:line="280" w:lineRule="exact"/>
        <w:ind w:left="425" w:hanging="425"/>
        <w:rPr>
          <w:color w:val="auto"/>
        </w:rPr>
      </w:pPr>
      <w:r>
        <w:rPr>
          <w:color w:val="auto"/>
        </w:rPr>
        <w:t>Vorlage und Erläuterung des Jahresabschlusses</w:t>
      </w:r>
    </w:p>
    <w:p w14:paraId="513D4731" w14:textId="77777777" w:rsidR="005112F4" w:rsidRDefault="005112F4" w:rsidP="005112F4">
      <w:pPr>
        <w:pStyle w:val="Liste1alphabetisch"/>
        <w:numPr>
          <w:ilvl w:val="0"/>
          <w:numId w:val="10"/>
        </w:numPr>
        <w:tabs>
          <w:tab w:val="left" w:pos="425"/>
          <w:tab w:val="left" w:pos="851"/>
        </w:tabs>
        <w:spacing w:before="60" w:after="60" w:line="280" w:lineRule="exact"/>
        <w:ind w:left="425" w:hanging="425"/>
        <w:rPr>
          <w:color w:val="auto"/>
        </w:rPr>
      </w:pPr>
      <w:r>
        <w:rPr>
          <w:color w:val="auto"/>
        </w:rPr>
        <w:t>steuerliche Belastungen</w:t>
      </w:r>
    </w:p>
    <w:p w14:paraId="36E10E8C" w14:textId="77777777" w:rsidR="005112F4" w:rsidRDefault="005112F4" w:rsidP="005112F4">
      <w:pPr>
        <w:pStyle w:val="Liste1alphabetisch"/>
        <w:numPr>
          <w:ilvl w:val="0"/>
          <w:numId w:val="10"/>
        </w:numPr>
        <w:tabs>
          <w:tab w:val="left" w:pos="425"/>
          <w:tab w:val="left" w:pos="851"/>
        </w:tabs>
        <w:spacing w:before="60" w:after="60" w:line="280" w:lineRule="exact"/>
        <w:ind w:left="425" w:hanging="425"/>
        <w:rPr>
          <w:color w:val="auto"/>
        </w:rPr>
      </w:pPr>
      <w:r>
        <w:rPr>
          <w:color w:val="auto"/>
        </w:rPr>
        <w:t>Risikolage bis hin zur Planung einer Insolvenzantragstellung</w:t>
      </w:r>
    </w:p>
    <w:p w14:paraId="72F7F257" w14:textId="77777777" w:rsidR="005112F4" w:rsidRDefault="005112F4" w:rsidP="005112F4">
      <w:pPr>
        <w:pStyle w:val="Liste1alphabetisch"/>
        <w:numPr>
          <w:ilvl w:val="0"/>
          <w:numId w:val="10"/>
        </w:numPr>
        <w:tabs>
          <w:tab w:val="left" w:pos="425"/>
          <w:tab w:val="left" w:pos="851"/>
        </w:tabs>
        <w:spacing w:before="60" w:after="60" w:line="280" w:lineRule="exact"/>
        <w:ind w:left="425" w:hanging="425"/>
        <w:rPr>
          <w:color w:val="auto"/>
        </w:rPr>
      </w:pPr>
      <w:r>
        <w:rPr>
          <w:color w:val="auto"/>
        </w:rPr>
        <w:t>Liquidität</w:t>
      </w:r>
    </w:p>
    <w:p w14:paraId="2D18D982" w14:textId="77777777" w:rsidR="005112F4" w:rsidRDefault="005112F4" w:rsidP="005112F4">
      <w:pPr>
        <w:pStyle w:val="Liste1alphabetisch"/>
        <w:numPr>
          <w:ilvl w:val="0"/>
          <w:numId w:val="10"/>
        </w:numPr>
        <w:tabs>
          <w:tab w:val="left" w:pos="425"/>
          <w:tab w:val="left" w:pos="851"/>
        </w:tabs>
        <w:spacing w:before="60" w:after="60" w:line="280" w:lineRule="exact"/>
        <w:ind w:left="425" w:hanging="425"/>
        <w:rPr>
          <w:color w:val="auto"/>
        </w:rPr>
      </w:pPr>
      <w:r>
        <w:rPr>
          <w:color w:val="auto"/>
        </w:rPr>
        <w:t>Kreditsituation</w:t>
      </w:r>
    </w:p>
    <w:p w14:paraId="2D5D2B44" w14:textId="77777777" w:rsidR="005112F4" w:rsidRDefault="005112F4" w:rsidP="005112F4">
      <w:pPr>
        <w:pStyle w:val="Liste1alphabetisch"/>
        <w:numPr>
          <w:ilvl w:val="0"/>
          <w:numId w:val="10"/>
        </w:numPr>
        <w:tabs>
          <w:tab w:val="left" w:pos="425"/>
          <w:tab w:val="left" w:pos="851"/>
        </w:tabs>
        <w:spacing w:before="60" w:after="60" w:line="280" w:lineRule="exact"/>
        <w:ind w:left="425" w:hanging="425"/>
        <w:rPr>
          <w:color w:val="auto"/>
        </w:rPr>
      </w:pPr>
      <w:r>
        <w:rPr>
          <w:color w:val="auto"/>
        </w:rPr>
        <w:t>Außenstände, Auftragsbestand</w:t>
      </w:r>
    </w:p>
    <w:p w14:paraId="6A519DC7" w14:textId="77777777" w:rsidR="005112F4" w:rsidRDefault="005112F4" w:rsidP="005112F4">
      <w:pPr>
        <w:pStyle w:val="Liste1alphabetisch"/>
        <w:numPr>
          <w:ilvl w:val="0"/>
          <w:numId w:val="10"/>
        </w:numPr>
        <w:tabs>
          <w:tab w:val="left" w:pos="425"/>
          <w:tab w:val="left" w:pos="851"/>
        </w:tabs>
        <w:spacing w:before="60" w:after="60" w:line="280" w:lineRule="exact"/>
        <w:ind w:left="425" w:hanging="425"/>
        <w:rPr>
          <w:color w:val="auto"/>
        </w:rPr>
      </w:pPr>
      <w:r>
        <w:rPr>
          <w:color w:val="auto"/>
        </w:rPr>
        <w:t>produktbezogene Versorgungssituation</w:t>
      </w:r>
    </w:p>
    <w:p w14:paraId="581EBF79" w14:textId="77777777" w:rsidR="005112F4" w:rsidRDefault="005112F4" w:rsidP="005112F4">
      <w:pPr>
        <w:pStyle w:val="Liste1alphabetisch"/>
        <w:numPr>
          <w:ilvl w:val="0"/>
          <w:numId w:val="10"/>
        </w:numPr>
        <w:tabs>
          <w:tab w:val="left" w:pos="425"/>
          <w:tab w:val="left" w:pos="851"/>
        </w:tabs>
        <w:spacing w:before="60" w:after="60" w:line="280" w:lineRule="exact"/>
        <w:ind w:left="425" w:hanging="425"/>
        <w:rPr>
          <w:color w:val="auto"/>
        </w:rPr>
      </w:pPr>
      <w:r>
        <w:rPr>
          <w:color w:val="auto"/>
        </w:rPr>
        <w:t>Preisgestaltung, Kalkulation</w:t>
      </w:r>
    </w:p>
    <w:p w14:paraId="2EA4592E" w14:textId="77777777" w:rsidR="005112F4" w:rsidRDefault="005112F4" w:rsidP="005112F4">
      <w:pPr>
        <w:pStyle w:val="Liste1alphabetisch"/>
        <w:numPr>
          <w:ilvl w:val="0"/>
          <w:numId w:val="10"/>
        </w:numPr>
        <w:tabs>
          <w:tab w:val="left" w:pos="425"/>
          <w:tab w:val="left" w:pos="851"/>
        </w:tabs>
        <w:spacing w:before="60" w:after="60" w:line="280" w:lineRule="exact"/>
        <w:ind w:left="425" w:hanging="425"/>
        <w:rPr>
          <w:color w:val="auto"/>
        </w:rPr>
      </w:pPr>
      <w:r>
        <w:rPr>
          <w:color w:val="auto"/>
        </w:rPr>
        <w:t>Außenstände</w:t>
      </w:r>
    </w:p>
    <w:p w14:paraId="71FDF37A" w14:textId="77777777" w:rsidR="005112F4" w:rsidRDefault="005112F4" w:rsidP="005112F4">
      <w:pPr>
        <w:pStyle w:val="Liste1"/>
        <w:numPr>
          <w:ilvl w:val="0"/>
          <w:numId w:val="10"/>
        </w:numPr>
        <w:tabs>
          <w:tab w:val="left" w:pos="425"/>
          <w:tab w:val="left" w:pos="851"/>
        </w:tabs>
        <w:spacing w:before="60" w:after="60" w:line="280" w:lineRule="exact"/>
        <w:ind w:left="425" w:hanging="425"/>
        <w:rPr>
          <w:color w:val="auto"/>
        </w:rPr>
      </w:pPr>
      <w:r>
        <w:rPr>
          <w:color w:val="auto"/>
        </w:rPr>
        <w:t>Absatz (Vertrieb, Umsatz) inklusive Verkaufs- und Umsatzstatistiken</w:t>
      </w:r>
    </w:p>
    <w:p w14:paraId="3672913F" w14:textId="77777777" w:rsidR="005112F4" w:rsidRDefault="005112F4" w:rsidP="005112F4">
      <w:pPr>
        <w:pStyle w:val="Liste1"/>
        <w:numPr>
          <w:ilvl w:val="0"/>
          <w:numId w:val="10"/>
        </w:numPr>
        <w:tabs>
          <w:tab w:val="left" w:pos="425"/>
          <w:tab w:val="left" w:pos="851"/>
        </w:tabs>
        <w:spacing w:before="60" w:after="60" w:line="280" w:lineRule="exact"/>
        <w:ind w:left="425" w:hanging="425"/>
        <w:rPr>
          <w:color w:val="auto"/>
        </w:rPr>
      </w:pPr>
      <w:r>
        <w:rPr>
          <w:color w:val="auto"/>
        </w:rPr>
        <w:t>Marktlage und Wettbewerbssituation</w:t>
      </w:r>
    </w:p>
    <w:p w14:paraId="643AF686" w14:textId="77777777" w:rsidR="005112F4" w:rsidRDefault="005112F4" w:rsidP="005112F4">
      <w:pPr>
        <w:pStyle w:val="Liste1"/>
        <w:numPr>
          <w:ilvl w:val="0"/>
          <w:numId w:val="10"/>
        </w:numPr>
        <w:tabs>
          <w:tab w:val="left" w:pos="425"/>
          <w:tab w:val="left" w:pos="851"/>
        </w:tabs>
        <w:spacing w:before="60" w:after="60" w:line="280" w:lineRule="exact"/>
        <w:ind w:left="425" w:hanging="425"/>
        <w:rPr>
          <w:color w:val="auto"/>
        </w:rPr>
      </w:pPr>
      <w:r>
        <w:rPr>
          <w:color w:val="auto"/>
        </w:rPr>
        <w:t>Kapazitätsauslastung, Produktion, Lagerbestand</w:t>
      </w:r>
    </w:p>
    <w:p w14:paraId="45106E50" w14:textId="77777777" w:rsidR="005112F4" w:rsidRDefault="005112F4" w:rsidP="005112F4">
      <w:pPr>
        <w:pStyle w:val="Liste1"/>
        <w:numPr>
          <w:ilvl w:val="0"/>
          <w:numId w:val="10"/>
        </w:numPr>
        <w:tabs>
          <w:tab w:val="left" w:pos="425"/>
          <w:tab w:val="left" w:pos="851"/>
        </w:tabs>
        <w:spacing w:before="60" w:after="60" w:line="280" w:lineRule="exact"/>
        <w:ind w:left="425" w:hanging="425"/>
        <w:rPr>
          <w:color w:val="auto"/>
        </w:rPr>
      </w:pPr>
      <w:r>
        <w:rPr>
          <w:color w:val="auto"/>
        </w:rPr>
        <w:t>Planungen für mittel- und langfristige Fertigung (inklusive Produktionsumstellungen)</w:t>
      </w:r>
    </w:p>
    <w:p w14:paraId="2264C1AA" w14:textId="77777777" w:rsidR="005112F4" w:rsidRDefault="005112F4" w:rsidP="005112F4">
      <w:pPr>
        <w:pStyle w:val="Liste1"/>
        <w:numPr>
          <w:ilvl w:val="0"/>
          <w:numId w:val="10"/>
        </w:numPr>
        <w:tabs>
          <w:tab w:val="left" w:pos="425"/>
          <w:tab w:val="left" w:pos="851"/>
        </w:tabs>
        <w:spacing w:before="60" w:after="60" w:line="280" w:lineRule="exact"/>
        <w:ind w:left="425" w:hanging="425"/>
        <w:rPr>
          <w:color w:val="auto"/>
        </w:rPr>
      </w:pPr>
      <w:r>
        <w:rPr>
          <w:color w:val="auto"/>
        </w:rPr>
        <w:lastRenderedPageBreak/>
        <w:t>Investitionen (projekt- und einzelbezogen)</w:t>
      </w:r>
    </w:p>
    <w:p w14:paraId="0E665EFE" w14:textId="77777777" w:rsidR="005112F4" w:rsidRDefault="005112F4" w:rsidP="005112F4">
      <w:pPr>
        <w:pStyle w:val="Liste1"/>
        <w:numPr>
          <w:ilvl w:val="0"/>
          <w:numId w:val="10"/>
        </w:numPr>
        <w:tabs>
          <w:tab w:val="left" w:pos="425"/>
          <w:tab w:val="left" w:pos="851"/>
        </w:tabs>
        <w:spacing w:before="60" w:after="60" w:line="280" w:lineRule="exact"/>
        <w:ind w:left="425" w:hanging="425"/>
        <w:rPr>
          <w:color w:val="auto"/>
        </w:rPr>
      </w:pPr>
      <w:r>
        <w:rPr>
          <w:color w:val="auto"/>
        </w:rPr>
        <w:t>das Absatzprogramm</w:t>
      </w:r>
    </w:p>
    <w:p w14:paraId="0856EDA6" w14:textId="77777777" w:rsidR="005112F4" w:rsidRDefault="005112F4" w:rsidP="005112F4">
      <w:pPr>
        <w:pStyle w:val="Liste1"/>
        <w:numPr>
          <w:ilvl w:val="0"/>
          <w:numId w:val="10"/>
        </w:numPr>
        <w:tabs>
          <w:tab w:val="left" w:pos="425"/>
          <w:tab w:val="left" w:pos="851"/>
        </w:tabs>
        <w:spacing w:before="60" w:after="60" w:line="280" w:lineRule="exact"/>
        <w:ind w:left="425" w:hanging="425"/>
        <w:rPr>
          <w:color w:val="auto"/>
        </w:rPr>
      </w:pPr>
      <w:r>
        <w:rPr>
          <w:color w:val="auto"/>
        </w:rPr>
        <w:t>bei Rationalisierungsvorhaben und Betriebsänderungen:</w:t>
      </w:r>
    </w:p>
    <w:p w14:paraId="09E7B5B3"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Gestaltung der Arbeitsvorgänge</w:t>
      </w:r>
    </w:p>
    <w:p w14:paraId="193256F1"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Automatisierung</w:t>
      </w:r>
    </w:p>
    <w:p w14:paraId="3B3E16E5"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technologische und organisatorische Verbesserungen</w:t>
      </w:r>
    </w:p>
    <w:p w14:paraId="580123A2"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Optimierung der Arbeitsbedingungen</w:t>
      </w:r>
    </w:p>
    <w:p w14:paraId="3EC0F2E4"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Maßnahmen der Betriebsänderung nach § 111 BetrVG</w:t>
      </w:r>
    </w:p>
    <w:p w14:paraId="0B32E408"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Umstellung von Gruppenarbeit auf Einzelarbeit</w:t>
      </w:r>
    </w:p>
    <w:p w14:paraId="3A62BA28"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Einführung von Schichtarbeit</w:t>
      </w:r>
    </w:p>
    <w:p w14:paraId="788C73A9"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Ablauf der Gütererzeugung unter arbeitswissenschaftlichen Gesichtspunkten</w:t>
      </w:r>
    </w:p>
    <w:p w14:paraId="3F3E0026" w14:textId="77777777" w:rsidR="005112F4" w:rsidRDefault="005112F4" w:rsidP="005112F4">
      <w:pPr>
        <w:pStyle w:val="Liste1"/>
        <w:numPr>
          <w:ilvl w:val="0"/>
          <w:numId w:val="10"/>
        </w:numPr>
        <w:tabs>
          <w:tab w:val="left" w:pos="425"/>
          <w:tab w:val="left" w:pos="851"/>
        </w:tabs>
        <w:spacing w:before="60" w:after="60" w:line="280" w:lineRule="exact"/>
        <w:ind w:left="425" w:hanging="425"/>
        <w:rPr>
          <w:color w:val="auto"/>
        </w:rPr>
      </w:pPr>
      <w:r>
        <w:rPr>
          <w:color w:val="auto"/>
        </w:rPr>
        <w:t>Fragen des betrieblichen Umweltschutzes:</w:t>
      </w:r>
    </w:p>
    <w:p w14:paraId="48987F0E"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Auswirkungen (positiv/negativ) auf das Unternehmen</w:t>
      </w:r>
    </w:p>
    <w:p w14:paraId="1D4F2058"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umweltpolitische Ziele des Unternehmens</w:t>
      </w:r>
    </w:p>
    <w:p w14:paraId="7F9884CA"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Umweltvorsorge bei neuen Produktionen/Produktionsumstellungen</w:t>
      </w:r>
    </w:p>
    <w:p w14:paraId="192B3BC3" w14:textId="77777777" w:rsidR="005112F4" w:rsidRDefault="005112F4" w:rsidP="005112F4">
      <w:pPr>
        <w:pStyle w:val="Liste2"/>
        <w:tabs>
          <w:tab w:val="left" w:pos="425"/>
          <w:tab w:val="left" w:pos="851"/>
        </w:tabs>
        <w:spacing w:before="60" w:after="60" w:line="280" w:lineRule="exact"/>
        <w:ind w:left="850" w:hanging="425"/>
        <w:rPr>
          <w:color w:val="auto"/>
        </w:rPr>
      </w:pPr>
      <w:r>
        <w:rPr>
          <w:color w:val="auto"/>
        </w:rPr>
        <w:t>umweltbezogene Verbesserungen bei laufenden Produkten</w:t>
      </w:r>
    </w:p>
    <w:p w14:paraId="2AA05D6A" w14:textId="77777777" w:rsidR="005112F4" w:rsidRDefault="005112F4" w:rsidP="005112F4">
      <w:pPr>
        <w:pStyle w:val="Liste1"/>
        <w:numPr>
          <w:ilvl w:val="0"/>
          <w:numId w:val="10"/>
        </w:numPr>
        <w:tabs>
          <w:tab w:val="left" w:pos="425"/>
          <w:tab w:val="left" w:pos="851"/>
        </w:tabs>
        <w:spacing w:before="60" w:after="60" w:line="280" w:lineRule="exact"/>
        <w:ind w:left="425" w:hanging="425"/>
        <w:rPr>
          <w:color w:val="auto"/>
        </w:rPr>
      </w:pPr>
      <w:r>
        <w:rPr>
          <w:color w:val="auto"/>
        </w:rPr>
        <w:t>etc.</w:t>
      </w:r>
    </w:p>
    <w:p w14:paraId="652C8079"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Die Auskünfte sind stets rechtzeitig und umfassend zu erteilen. Das Gleiche gilt für die Vorlage von Unterlagen.</w:t>
      </w:r>
    </w:p>
    <w:p w14:paraId="7749A168"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Jahresabschlüsse und Bilanzen sind unverzüglich nach ihrer Fertigstellung dem Wirtschaftsausschuss vorzulegen.</w:t>
      </w:r>
    </w:p>
    <w:p w14:paraId="5EC211DC" w14:textId="77777777" w:rsidR="005112F4" w:rsidRDefault="005112F4" w:rsidP="005112F4">
      <w:pPr>
        <w:pStyle w:val="Textblock"/>
        <w:numPr>
          <w:ilvl w:val="0"/>
          <w:numId w:val="0"/>
        </w:numPr>
        <w:tabs>
          <w:tab w:val="left" w:pos="425"/>
          <w:tab w:val="left" w:pos="851"/>
        </w:tabs>
        <w:spacing w:before="60" w:after="60" w:line="280" w:lineRule="exact"/>
        <w:rPr>
          <w:rStyle w:val="Fett"/>
          <w:color w:val="auto"/>
        </w:rPr>
      </w:pPr>
    </w:p>
    <w:p w14:paraId="56340128" w14:textId="77777777" w:rsidR="005112F4" w:rsidRDefault="005112F4" w:rsidP="005112F4">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6 Hinzuziehung von Auskunftspersonen und Sachverständigen</w:t>
      </w:r>
    </w:p>
    <w:p w14:paraId="241D4C60" w14:textId="77777777" w:rsidR="005112F4" w:rsidRDefault="005112F4" w:rsidP="005112F4">
      <w:pPr>
        <w:pStyle w:val="Textblock"/>
        <w:numPr>
          <w:ilvl w:val="0"/>
          <w:numId w:val="0"/>
        </w:numPr>
        <w:tabs>
          <w:tab w:val="left" w:pos="425"/>
          <w:tab w:val="left" w:pos="851"/>
        </w:tabs>
        <w:spacing w:before="60" w:after="60" w:line="280" w:lineRule="exact"/>
      </w:pPr>
      <w:r>
        <w:rPr>
          <w:color w:val="auto"/>
        </w:rPr>
        <w:t>Der Wirtschaftsausschuss kann jederzeit betriebliche Auskunftspersonen hinzuziehen. Diese nehmen an der Wirtschaftsausschusssitzung unter Fortzahlung ihrer Bezüge teil und unter Freistellung von ihrer Arbeitspflicht im Übrigen.</w:t>
      </w:r>
    </w:p>
    <w:p w14:paraId="1307C77C"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Der Wirtschaftsausschuss kann zu den Sitzungen des Wirtschaftsausschusses einen Vertreter jeder im Betrieb vertretenen Gewerkschaft hinzuziehen. Im Falle ihrer Hinzuziehung gilt § 79 BetrVG (Geheimhaltung) für diese analog, darauf sind diese Personen ausdrücklich hinzuweisen.</w:t>
      </w:r>
    </w:p>
    <w:p w14:paraId="2C7C93E6"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Der Wirtschaftsausschuss kann betriebswirtschaftliche Sachverständige ohne nähere Vereinbarung mit der Arbeitgeberseite hinzuziehen, soweit das Gesamthonorarvolumen für die Hinzuziehung von Sachverständigen einen Gesamtbetrag in Höhe von 20.000 Euro pro Kalenderjahr nicht übersteigt. Ist es darüber hinaus erforderlich, weitere Sachverständige hinzuziehen, so bleibt es bei den einschlägigen gesetzlichen Regelungen.</w:t>
      </w:r>
    </w:p>
    <w:p w14:paraId="4242ACB5" w14:textId="77777777" w:rsidR="005112F4" w:rsidRDefault="005112F4" w:rsidP="005112F4">
      <w:pPr>
        <w:pStyle w:val="Textblock"/>
        <w:numPr>
          <w:ilvl w:val="0"/>
          <w:numId w:val="0"/>
        </w:numPr>
        <w:tabs>
          <w:tab w:val="left" w:pos="425"/>
          <w:tab w:val="left" w:pos="851"/>
        </w:tabs>
        <w:spacing w:before="60" w:after="60" w:line="280" w:lineRule="exact"/>
        <w:rPr>
          <w:rStyle w:val="Fett"/>
          <w:color w:val="auto"/>
        </w:rPr>
      </w:pPr>
    </w:p>
    <w:p w14:paraId="12E8608B" w14:textId="77777777" w:rsidR="005112F4" w:rsidRDefault="005112F4" w:rsidP="005112F4">
      <w:pPr>
        <w:pStyle w:val="Textblock"/>
        <w:numPr>
          <w:ilvl w:val="0"/>
          <w:numId w:val="0"/>
        </w:numPr>
        <w:tabs>
          <w:tab w:val="left" w:pos="425"/>
          <w:tab w:val="left" w:pos="851"/>
        </w:tabs>
        <w:spacing w:before="60" w:after="60" w:line="280" w:lineRule="exact"/>
        <w:jc w:val="center"/>
        <w:rPr>
          <w:rStyle w:val="Fett"/>
          <w:color w:val="auto"/>
          <w:sz w:val="24"/>
        </w:rPr>
      </w:pPr>
      <w:r>
        <w:rPr>
          <w:rStyle w:val="Fett"/>
          <w:color w:val="auto"/>
          <w:sz w:val="24"/>
        </w:rPr>
        <w:t>§ 7 Schlussbestimmungen</w:t>
      </w:r>
    </w:p>
    <w:p w14:paraId="77CC5E3A" w14:textId="77777777" w:rsidR="005112F4" w:rsidRDefault="005112F4" w:rsidP="005112F4">
      <w:pPr>
        <w:pStyle w:val="Textblock"/>
        <w:numPr>
          <w:ilvl w:val="0"/>
          <w:numId w:val="0"/>
        </w:numPr>
        <w:tabs>
          <w:tab w:val="left" w:pos="425"/>
          <w:tab w:val="left" w:pos="851"/>
        </w:tabs>
        <w:spacing w:before="60" w:after="60" w:line="280" w:lineRule="exact"/>
      </w:pPr>
      <w:r>
        <w:rPr>
          <w:color w:val="auto"/>
        </w:rPr>
        <w:lastRenderedPageBreak/>
        <w:t>Diese Betriebsvereinbarung tritt mit ihrer Unterzeichnung in Kraft.</w:t>
      </w:r>
    </w:p>
    <w:p w14:paraId="7647DDF0"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Die Betriebsvereinbarung ist mit einer Frist von drei Monaten zum Monatsende kündbar und wirkt im Falle ihrer Kündigung bis zum Abschluss einer sie ersetzenden Regelung nach.</w:t>
      </w:r>
    </w:p>
    <w:p w14:paraId="3E1A3E98" w14:textId="77777777" w:rsidR="005112F4" w:rsidRDefault="005112F4" w:rsidP="005112F4">
      <w:pPr>
        <w:pStyle w:val="Textblock"/>
        <w:numPr>
          <w:ilvl w:val="0"/>
          <w:numId w:val="0"/>
        </w:numPr>
        <w:tabs>
          <w:tab w:val="left" w:pos="425"/>
          <w:tab w:val="left" w:pos="851"/>
        </w:tabs>
        <w:spacing w:before="60" w:after="60" w:line="280" w:lineRule="exact"/>
        <w:rPr>
          <w:color w:val="auto"/>
        </w:rPr>
      </w:pPr>
      <w:r>
        <w:rPr>
          <w:color w:val="auto"/>
        </w:rPr>
        <w:t>Sollte diese Betriebsvereinbarung teilweise unwirksam sein oder werden, so berührt dies nicht die Wirksamkeit der Betriebsvereinbarung im Übrigen. Vielmehr werden die Parteien unverzüglich Verhandlungen zur Neuregelung des unwirksamen Teils aufnehmen.</w:t>
      </w:r>
    </w:p>
    <w:p w14:paraId="0FE0112F" w14:textId="77777777" w:rsidR="005112F4" w:rsidRDefault="005112F4" w:rsidP="005112F4">
      <w:pPr>
        <w:pStyle w:val="Textblock"/>
        <w:numPr>
          <w:ilvl w:val="0"/>
          <w:numId w:val="0"/>
        </w:numPr>
        <w:ind w:left="360" w:hanging="360"/>
        <w:rPr>
          <w:color w:val="auto"/>
        </w:rPr>
      </w:pPr>
    </w:p>
    <w:p w14:paraId="21FFE1E3" w14:textId="77777777" w:rsidR="005112F4" w:rsidRDefault="005112F4" w:rsidP="005112F4">
      <w:pPr>
        <w:pStyle w:val="Textblock"/>
        <w:numPr>
          <w:ilvl w:val="0"/>
          <w:numId w:val="0"/>
        </w:numPr>
        <w:spacing w:before="60" w:after="60" w:line="280" w:lineRule="exact"/>
        <w:rPr>
          <w:color w:val="auto"/>
        </w:rPr>
      </w:pPr>
      <w:r>
        <w:rPr>
          <w:color w:val="auto"/>
        </w:rPr>
        <w:t>Musterstadt, Datum</w:t>
      </w:r>
    </w:p>
    <w:p w14:paraId="70898293" w14:textId="77777777" w:rsidR="005112F4" w:rsidRDefault="005112F4" w:rsidP="005112F4">
      <w:pPr>
        <w:pStyle w:val="Textblock"/>
        <w:numPr>
          <w:ilvl w:val="0"/>
          <w:numId w:val="0"/>
        </w:numPr>
        <w:spacing w:before="60" w:after="60" w:line="280" w:lineRule="exact"/>
        <w:rPr>
          <w:color w:val="auto"/>
        </w:rPr>
      </w:pPr>
    </w:p>
    <w:p w14:paraId="66633BAF" w14:textId="77777777" w:rsidR="005112F4" w:rsidRDefault="005112F4" w:rsidP="005112F4">
      <w:pPr>
        <w:pStyle w:val="Textblock"/>
        <w:numPr>
          <w:ilvl w:val="0"/>
          <w:numId w:val="0"/>
        </w:numPr>
        <w:spacing w:before="60" w:after="60" w:line="280" w:lineRule="exact"/>
        <w:rPr>
          <w:color w:val="auto"/>
        </w:rPr>
      </w:pPr>
      <w:r>
        <w:rPr>
          <w:color w:val="auto"/>
        </w:rPr>
        <w:t>Unterschrift Betriebsratsvorsitzender, Unterschrift Geschäftsführer</w:t>
      </w:r>
    </w:p>
    <w:p w14:paraId="32162638" w14:textId="1647648F" w:rsidR="00645C6A" w:rsidRPr="00B135C6" w:rsidRDefault="00645C6A" w:rsidP="005112F4">
      <w:pPr>
        <w:autoSpaceDE w:val="0"/>
        <w:autoSpaceDN w:val="0"/>
        <w:adjustRightInd w:val="0"/>
        <w:spacing w:after="120"/>
        <w:rPr>
          <w:sz w:val="24"/>
          <w:szCs w:val="24"/>
        </w:rPr>
      </w:pPr>
    </w:p>
    <w:sectPr w:rsidR="00645C6A" w:rsidRPr="00B135C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FD74" w14:textId="77777777" w:rsidR="00645C6A" w:rsidRDefault="00645C6A" w:rsidP="00645C6A">
      <w:pPr>
        <w:spacing w:after="0" w:line="240" w:lineRule="auto"/>
      </w:pPr>
      <w:r>
        <w:separator/>
      </w:r>
    </w:p>
  </w:endnote>
  <w:endnote w:type="continuationSeparator" w:id="0">
    <w:p w14:paraId="65016BEC" w14:textId="77777777"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FC21" w14:textId="3AA9D18D" w:rsidR="00B135C6" w:rsidRDefault="0012313C" w:rsidP="001D16A7">
    <w:pPr>
      <w:pStyle w:val="Fuzeile"/>
      <w:tabs>
        <w:tab w:val="clear" w:pos="9072"/>
        <w:tab w:val="right" w:pos="9923"/>
      </w:tabs>
      <w:ind w:left="-851"/>
      <w:rPr>
        <w:sz w:val="16"/>
        <w:szCs w:val="16"/>
      </w:rPr>
    </w:pPr>
    <w:r>
      <w:rPr>
        <w:b/>
        <w:noProof/>
        <w:color w:val="A6A6A6" w:themeColor="background1" w:themeShade="A6"/>
        <w:sz w:val="18"/>
        <w:szCs w:val="18"/>
        <w:lang w:eastAsia="de-DE"/>
      </w:rPr>
      <w:drawing>
        <wp:inline distT="0" distB="0" distL="0" distR="0" wp14:anchorId="60DD8297" wp14:editId="2CE7D3D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874B0">
      <w:rPr>
        <w:sz w:val="16"/>
        <w:szCs w:val="16"/>
      </w:rPr>
      <w:t>Urteilsticker BETRIEBSRAT</w:t>
    </w:r>
    <w:r w:rsidR="00B874B0" w:rsidRPr="0012313C">
      <w:rPr>
        <w:sz w:val="16"/>
        <w:szCs w:val="16"/>
      </w:rPr>
      <w:t xml:space="preserve"> | </w:t>
    </w:r>
    <w:r w:rsidR="00201FE4">
      <w:rPr>
        <w:sz w:val="16"/>
        <w:szCs w:val="16"/>
      </w:rPr>
      <w:t>Juli</w:t>
    </w:r>
    <w:r w:rsidR="00B135C6">
      <w:rPr>
        <w:sz w:val="16"/>
        <w:szCs w:val="16"/>
      </w:rPr>
      <w:t xml:space="preserve"> 2022</w:t>
    </w:r>
    <w:r w:rsidR="00645C6A" w:rsidRPr="0012313C">
      <w:rPr>
        <w:sz w:val="16"/>
        <w:szCs w:val="16"/>
      </w:rPr>
      <w:t xml:space="preserve"> </w:t>
    </w:r>
  </w:p>
  <w:p w14:paraId="22F0F23E" w14:textId="1A6EA55D" w:rsidR="00645C6A" w:rsidRPr="001D16A7" w:rsidRDefault="00645C6A" w:rsidP="00B135C6">
    <w:pPr>
      <w:pStyle w:val="Fuzeile"/>
      <w:tabs>
        <w:tab w:val="clear" w:pos="4536"/>
        <w:tab w:val="clear" w:pos="9072"/>
        <w:tab w:val="right" w:pos="9923"/>
      </w:tabs>
      <w:ind w:left="-851"/>
      <w:rPr>
        <w:sz w:val="16"/>
        <w:szCs w:val="16"/>
      </w:rPr>
    </w:pPr>
    <w:r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r w:rsidR="00B135C6" w:rsidRPr="0012313C">
      <w:rPr>
        <w:sz w:val="16"/>
        <w:szCs w:val="16"/>
      </w:rPr>
      <w:t xml:space="preserve"> |</w:t>
    </w:r>
    <w:hyperlink r:id="rId3" w:history="1">
      <w:r w:rsidR="00B135C6" w:rsidRPr="00B135C6">
        <w:rPr>
          <w:rStyle w:val="Hyperlink"/>
          <w:sz w:val="16"/>
          <w:szCs w:val="16"/>
        </w:rPr>
        <w:t>www.urteilsticker-betriebsrat.de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0DAF" w14:textId="77777777" w:rsidR="00645C6A" w:rsidRDefault="00645C6A" w:rsidP="00645C6A">
      <w:pPr>
        <w:spacing w:after="0" w:line="240" w:lineRule="auto"/>
      </w:pPr>
      <w:r>
        <w:separator/>
      </w:r>
    </w:p>
  </w:footnote>
  <w:footnote w:type="continuationSeparator" w:id="0">
    <w:p w14:paraId="501B1697" w14:textId="77777777"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09F0" w14:textId="7BEC62B3" w:rsidR="00645C6A" w:rsidRDefault="00B06850">
    <w:pPr>
      <w:pStyle w:val="Kopfzeile"/>
    </w:pPr>
    <w:r>
      <w:rPr>
        <w:noProof/>
      </w:rPr>
      <w:drawing>
        <wp:inline distT="0" distB="0" distL="0" distR="0" wp14:anchorId="36936391" wp14:editId="7C0F52AB">
          <wp:extent cx="5715000" cy="1524000"/>
          <wp:effectExtent l="0" t="0" r="0" b="0"/>
          <wp:docPr id="1" name="Grafik 1" descr="Ein Bild, das Text, ClipArt,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Schild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71500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D2507"/>
    <w:multiLevelType w:val="singleLevel"/>
    <w:tmpl w:val="8E840754"/>
    <w:lvl w:ilvl="0">
      <w:start w:val="1"/>
      <w:numFmt w:val="lowerLetter"/>
      <w:pStyle w:val="Liste1alphabetisch"/>
      <w:lvlText w:val="%1)"/>
      <w:lvlJc w:val="left"/>
      <w:pPr>
        <w:tabs>
          <w:tab w:val="num" w:pos="1848"/>
        </w:tabs>
        <w:ind w:left="1848" w:hanging="357"/>
      </w:pPr>
      <w:rPr>
        <w:rFonts w:ascii="Arial" w:hAnsi="Arial" w:cs="Times New Roman" w:hint="default"/>
        <w:sz w:val="22"/>
      </w:rPr>
    </w:lvl>
  </w:abstractNum>
  <w:abstractNum w:abstractNumId="1"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 w15:restartNumberingAfterBreak="0">
    <w:nsid w:val="44704FC4"/>
    <w:multiLevelType w:val="singleLevel"/>
    <w:tmpl w:val="04070001"/>
    <w:lvl w:ilvl="0">
      <w:start w:val="1"/>
      <w:numFmt w:val="bullet"/>
      <w:pStyle w:val="Textblock"/>
      <w:lvlText w:val=""/>
      <w:lvlJc w:val="left"/>
      <w:pPr>
        <w:tabs>
          <w:tab w:val="num" w:pos="360"/>
        </w:tabs>
        <w:ind w:left="360" w:hanging="360"/>
      </w:pPr>
      <w:rPr>
        <w:rFonts w:ascii="Symbol" w:hAnsi="Symbol" w:hint="default"/>
      </w:rPr>
    </w:lvl>
  </w:abstractNum>
  <w:abstractNum w:abstractNumId="3" w15:restartNumberingAfterBreak="0">
    <w:nsid w:val="4C6922A4"/>
    <w:multiLevelType w:val="hybridMultilevel"/>
    <w:tmpl w:val="265CF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1796272"/>
    <w:multiLevelType w:val="singleLevel"/>
    <w:tmpl w:val="43A0DF9A"/>
    <w:lvl w:ilvl="0">
      <w:start w:val="1"/>
      <w:numFmt w:val="lowerLetter"/>
      <w:lvlText w:val="%1)"/>
      <w:lvlJc w:val="left"/>
      <w:pPr>
        <w:tabs>
          <w:tab w:val="num" w:pos="1491"/>
        </w:tabs>
        <w:ind w:left="1848" w:hanging="357"/>
      </w:pPr>
      <w:rPr>
        <w:rFonts w:ascii="Arial" w:hAnsi="Arial" w:cs="Arial"/>
        <w:b w:val="0"/>
        <w:i w:val="0"/>
        <w:strike w:val="0"/>
        <w:dstrike w:val="0"/>
        <w:color w:val="000000"/>
        <w:position w:val="0"/>
        <w:sz w:val="22"/>
        <w:u w:val="none"/>
        <w:effect w:val="none"/>
      </w:rPr>
    </w:lvl>
  </w:abstractNum>
  <w:abstractNum w:abstractNumId="5" w15:restartNumberingAfterBreak="0">
    <w:nsid w:val="56A950C7"/>
    <w:multiLevelType w:val="hybridMultilevel"/>
    <w:tmpl w:val="C016BF5A"/>
    <w:lvl w:ilvl="0" w:tplc="E2CC2974">
      <w:numFmt w:val="bullet"/>
      <w:lvlText w:val="•"/>
      <w:lvlJc w:val="left"/>
      <w:pPr>
        <w:ind w:left="1065" w:hanging="705"/>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C43511D"/>
    <w:multiLevelType w:val="multilevel"/>
    <w:tmpl w:val="65E8E216"/>
    <w:lvl w:ilvl="0">
      <w:start w:val="1"/>
      <w:numFmt w:val="bullet"/>
      <w:pStyle w:val="Liste2"/>
      <w:lvlText w:val="·"/>
      <w:lvlJc w:val="left"/>
      <w:pPr>
        <w:tabs>
          <w:tab w:val="num" w:pos="3058"/>
        </w:tabs>
        <w:ind w:left="3058" w:hanging="358"/>
      </w:pPr>
      <w:rPr>
        <w:rFonts w:ascii="Symbol" w:hAnsi="Symbol" w:hint="default"/>
        <w:color w:val="000000"/>
        <w:sz w:val="20"/>
      </w:rPr>
    </w:lvl>
    <w:lvl w:ilvl="1">
      <w:start w:val="1"/>
      <w:numFmt w:val="lowerLetter"/>
      <w:lvlText w:val="%2)"/>
      <w:lvlJc w:val="left"/>
      <w:pPr>
        <w:tabs>
          <w:tab w:val="num" w:pos="3063"/>
        </w:tabs>
        <w:ind w:left="3063" w:hanging="360"/>
      </w:pPr>
    </w:lvl>
    <w:lvl w:ilvl="2">
      <w:start w:val="1"/>
      <w:numFmt w:val="lowerRoman"/>
      <w:lvlText w:val="%3)"/>
      <w:lvlJc w:val="left"/>
      <w:pPr>
        <w:tabs>
          <w:tab w:val="num" w:pos="3423"/>
        </w:tabs>
        <w:ind w:left="3423" w:hanging="360"/>
      </w:pPr>
    </w:lvl>
    <w:lvl w:ilvl="3">
      <w:start w:val="1"/>
      <w:numFmt w:val="decimal"/>
      <w:lvlText w:val="(%4)"/>
      <w:lvlJc w:val="left"/>
      <w:pPr>
        <w:tabs>
          <w:tab w:val="num" w:pos="3783"/>
        </w:tabs>
        <w:ind w:left="3783" w:hanging="360"/>
      </w:pPr>
    </w:lvl>
    <w:lvl w:ilvl="4">
      <w:start w:val="1"/>
      <w:numFmt w:val="lowerLetter"/>
      <w:lvlText w:val="(%5)"/>
      <w:lvlJc w:val="left"/>
      <w:pPr>
        <w:tabs>
          <w:tab w:val="num" w:pos="4143"/>
        </w:tabs>
        <w:ind w:left="4143" w:hanging="360"/>
      </w:pPr>
    </w:lvl>
    <w:lvl w:ilvl="5">
      <w:start w:val="1"/>
      <w:numFmt w:val="lowerRoman"/>
      <w:lvlText w:val="(%6)"/>
      <w:lvlJc w:val="left"/>
      <w:pPr>
        <w:tabs>
          <w:tab w:val="num" w:pos="4503"/>
        </w:tabs>
        <w:ind w:left="4503" w:hanging="360"/>
      </w:pPr>
    </w:lvl>
    <w:lvl w:ilvl="6">
      <w:start w:val="1"/>
      <w:numFmt w:val="decimal"/>
      <w:lvlText w:val="%7."/>
      <w:lvlJc w:val="left"/>
      <w:pPr>
        <w:tabs>
          <w:tab w:val="num" w:pos="4863"/>
        </w:tabs>
        <w:ind w:left="4863" w:hanging="360"/>
      </w:pPr>
    </w:lvl>
    <w:lvl w:ilvl="7">
      <w:start w:val="1"/>
      <w:numFmt w:val="lowerLetter"/>
      <w:lvlText w:val="%8."/>
      <w:lvlJc w:val="left"/>
      <w:pPr>
        <w:tabs>
          <w:tab w:val="num" w:pos="5223"/>
        </w:tabs>
        <w:ind w:left="5223" w:hanging="360"/>
      </w:pPr>
    </w:lvl>
    <w:lvl w:ilvl="8">
      <w:start w:val="1"/>
      <w:numFmt w:val="lowerRoman"/>
      <w:lvlText w:val="%9."/>
      <w:lvlJc w:val="left"/>
      <w:pPr>
        <w:tabs>
          <w:tab w:val="num" w:pos="5583"/>
        </w:tabs>
        <w:ind w:left="5583" w:hanging="360"/>
      </w:pPr>
    </w:lvl>
  </w:abstractNum>
  <w:abstractNum w:abstractNumId="7" w15:restartNumberingAfterBreak="0">
    <w:nsid w:val="63074BE7"/>
    <w:multiLevelType w:val="hybridMultilevel"/>
    <w:tmpl w:val="2FEAA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467A94"/>
    <w:multiLevelType w:val="singleLevel"/>
    <w:tmpl w:val="1A1E7990"/>
    <w:lvl w:ilvl="0">
      <w:start w:val="1"/>
      <w:numFmt w:val="lowerLetter"/>
      <w:lvlText w:val="%1)"/>
      <w:lvlJc w:val="left"/>
      <w:pPr>
        <w:tabs>
          <w:tab w:val="num" w:pos="1491"/>
        </w:tabs>
        <w:ind w:left="1848" w:hanging="357"/>
      </w:pPr>
      <w:rPr>
        <w:rFonts w:ascii="Arial" w:hAnsi="Arial" w:cs="Arial"/>
        <w:b w:val="0"/>
        <w:i w:val="0"/>
        <w:strike w:val="0"/>
        <w:dstrike w:val="0"/>
        <w:color w:val="000000"/>
        <w:position w:val="0"/>
        <w:sz w:val="22"/>
        <w:u w:val="none"/>
        <w:effect w:val="none"/>
      </w:rPr>
    </w:lvl>
  </w:abstractNum>
  <w:abstractNum w:abstractNumId="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3"/>
  </w:num>
  <w:num w:numId="3">
    <w:abstractNumId w:val="5"/>
  </w:num>
  <w:num w:numId="4">
    <w:abstractNumId w:val="7"/>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num>
  <w:num w:numId="9">
    <w:abstractNumId w:val="8"/>
    <w:lvlOverride w:ilvl="0">
      <w:startOverride w:val="1"/>
    </w:lvlOverride>
  </w:num>
  <w:num w:numId="1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removePersonalInformation/>
  <w:removeDateAndTime/>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D16A7"/>
    <w:rsid w:val="00201FE4"/>
    <w:rsid w:val="00216B3E"/>
    <w:rsid w:val="00237255"/>
    <w:rsid w:val="002F0F91"/>
    <w:rsid w:val="00430838"/>
    <w:rsid w:val="0043100C"/>
    <w:rsid w:val="004E4B9B"/>
    <w:rsid w:val="005112F4"/>
    <w:rsid w:val="005B72E6"/>
    <w:rsid w:val="005C1193"/>
    <w:rsid w:val="005E2E83"/>
    <w:rsid w:val="0062183F"/>
    <w:rsid w:val="00645C6A"/>
    <w:rsid w:val="00664705"/>
    <w:rsid w:val="007B14D4"/>
    <w:rsid w:val="007C20F8"/>
    <w:rsid w:val="00854679"/>
    <w:rsid w:val="008F1965"/>
    <w:rsid w:val="00960570"/>
    <w:rsid w:val="009D1ADA"/>
    <w:rsid w:val="00A61090"/>
    <w:rsid w:val="00AB6068"/>
    <w:rsid w:val="00B06850"/>
    <w:rsid w:val="00B135C6"/>
    <w:rsid w:val="00B874B0"/>
    <w:rsid w:val="00BE3933"/>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562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character" w:styleId="NichtaufgelsteErwhnung">
    <w:name w:val="Unresolved Mention"/>
    <w:basedOn w:val="Absatz-Standardschriftart"/>
    <w:uiPriority w:val="99"/>
    <w:semiHidden/>
    <w:unhideWhenUsed/>
    <w:rsid w:val="00430838"/>
    <w:rPr>
      <w:color w:val="605E5C"/>
      <w:shd w:val="clear" w:color="auto" w:fill="E1DFDD"/>
    </w:rPr>
  </w:style>
  <w:style w:type="paragraph" w:styleId="Listenabsatz">
    <w:name w:val="List Paragraph"/>
    <w:basedOn w:val="Standard"/>
    <w:uiPriority w:val="34"/>
    <w:qFormat/>
    <w:rsid w:val="00430838"/>
    <w:pPr>
      <w:ind w:left="720"/>
      <w:contextualSpacing/>
    </w:pPr>
  </w:style>
  <w:style w:type="character" w:styleId="Fett">
    <w:name w:val="Strong"/>
    <w:uiPriority w:val="22"/>
    <w:qFormat/>
    <w:rsid w:val="005112F4"/>
    <w:rPr>
      <w:b/>
      <w:bCs/>
      <w:color w:val="008000"/>
    </w:rPr>
  </w:style>
  <w:style w:type="paragraph" w:styleId="Liste2">
    <w:name w:val="List 2"/>
    <w:basedOn w:val="Standard"/>
    <w:semiHidden/>
    <w:unhideWhenUsed/>
    <w:rsid w:val="005112F4"/>
    <w:pPr>
      <w:numPr>
        <w:numId w:val="5"/>
      </w:numPr>
      <w:tabs>
        <w:tab w:val="left" w:pos="1848"/>
      </w:tabs>
      <w:spacing w:before="40" w:after="40" w:line="300" w:lineRule="auto"/>
    </w:pPr>
    <w:rPr>
      <w:rFonts w:ascii="Arial" w:eastAsia="Times New Roman" w:hAnsi="Arial" w:cs="Times New Roman"/>
      <w:color w:val="000000"/>
      <w:szCs w:val="24"/>
      <w:lang w:eastAsia="de-DE"/>
    </w:rPr>
  </w:style>
  <w:style w:type="paragraph" w:customStyle="1" w:styleId="Textblock">
    <w:name w:val="Textblock"/>
    <w:basedOn w:val="Standard"/>
    <w:rsid w:val="005112F4"/>
    <w:pPr>
      <w:numPr>
        <w:numId w:val="6"/>
      </w:numPr>
      <w:tabs>
        <w:tab w:val="left" w:pos="0"/>
      </w:tabs>
      <w:spacing w:before="120" w:after="120" w:line="300" w:lineRule="auto"/>
    </w:pPr>
    <w:rPr>
      <w:rFonts w:ascii="Arial" w:eastAsia="Times New Roman" w:hAnsi="Arial" w:cs="Times New Roman"/>
      <w:color w:val="000000"/>
      <w:szCs w:val="24"/>
      <w:lang w:eastAsia="de-DE"/>
    </w:rPr>
  </w:style>
  <w:style w:type="paragraph" w:customStyle="1" w:styleId="Liste1">
    <w:name w:val="Liste 1"/>
    <w:basedOn w:val="Standard"/>
    <w:rsid w:val="005112F4"/>
    <w:pPr>
      <w:numPr>
        <w:numId w:val="7"/>
      </w:numPr>
      <w:tabs>
        <w:tab w:val="left" w:pos="1491"/>
      </w:tabs>
      <w:spacing w:before="40" w:after="40" w:line="300" w:lineRule="auto"/>
    </w:pPr>
    <w:rPr>
      <w:rFonts w:ascii="Arial" w:eastAsia="Times New Roman" w:hAnsi="Arial" w:cs="Times New Roman"/>
      <w:color w:val="000000"/>
      <w:szCs w:val="24"/>
      <w:lang w:eastAsia="de-DE"/>
    </w:rPr>
  </w:style>
  <w:style w:type="paragraph" w:customStyle="1" w:styleId="Liste1alphabetisch">
    <w:name w:val="Liste 1 alphabetisch"/>
    <w:rsid w:val="005112F4"/>
    <w:pPr>
      <w:numPr>
        <w:numId w:val="8"/>
      </w:numPr>
      <w:tabs>
        <w:tab w:val="left" w:pos="1491"/>
      </w:tabs>
      <w:spacing w:before="40" w:after="40" w:line="300" w:lineRule="auto"/>
    </w:pPr>
    <w:rPr>
      <w:rFonts w:ascii="Arial" w:eastAsia="Times New Roman" w:hAnsi="Arial" w:cs="Times New Roman"/>
      <w:color w:val="00000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077975520">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swkisfs02.weka.intern\Produktion\_Mit\i.b.m.%20Produkte\00105_Betriebsrat%20KOMPAKT\Webinare\2022\M&#228;rz_Homeoffice\www.urteilsticker-betriebsrat.de" TargetMode="External"/><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5560</Characters>
  <Application>Microsoft Office Word</Application>
  <DocSecurity>0</DocSecurity>
  <Lines>46</Lines>
  <Paragraphs>12</Paragraphs>
  <ScaleCrop>false</ScaleCrop>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2022-07-14T12:30:00Z</dcterms:created>
  <dcterms:modified xsi:type="dcterms:W3CDTF">2022-07-14T12:30:00Z</dcterms:modified>
</cp:coreProperties>
</file>