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DFCCF" w14:textId="77777777" w:rsidR="00097E64" w:rsidRDefault="00097E64" w:rsidP="00097E64">
      <w:pPr>
        <w:rPr>
          <w:color w:val="FF0000"/>
        </w:rPr>
      </w:pPr>
    </w:p>
    <w:p w14:paraId="7D29C5EC" w14:textId="77777777" w:rsidR="00384678" w:rsidRPr="007F2860" w:rsidRDefault="00384678" w:rsidP="00384678">
      <w:pPr>
        <w:pStyle w:val="Zwischenberschrift1"/>
        <w:numPr>
          <w:ilvl w:val="0"/>
          <w:numId w:val="0"/>
        </w:numPr>
        <w:tabs>
          <w:tab w:val="left" w:pos="425"/>
          <w:tab w:val="left" w:pos="851"/>
          <w:tab w:val="num" w:pos="1494"/>
        </w:tabs>
        <w:spacing w:before="60" w:after="60" w:line="280" w:lineRule="exact"/>
        <w:rPr>
          <w:color w:val="auto"/>
          <w:sz w:val="28"/>
          <w:szCs w:val="28"/>
        </w:rPr>
      </w:pPr>
      <w:r w:rsidRPr="007F2860">
        <w:rPr>
          <w:color w:val="auto"/>
          <w:sz w:val="28"/>
          <w:szCs w:val="28"/>
        </w:rPr>
        <w:t>Bereitschaftsdienst: Musterbetriebsvereinbarung über die Regelung eines Bereitschaftsdienstes für den EDV-Bereich</w:t>
      </w:r>
    </w:p>
    <w:p w14:paraId="469AF801" w14:textId="77777777" w:rsidR="00384678" w:rsidRPr="007F2860" w:rsidRDefault="00384678" w:rsidP="00384678">
      <w:pPr>
        <w:pStyle w:val="Textblock"/>
        <w:numPr>
          <w:ilvl w:val="0"/>
          <w:numId w:val="0"/>
        </w:numPr>
        <w:tabs>
          <w:tab w:val="clear" w:pos="0"/>
          <w:tab w:val="num" w:pos="1494"/>
        </w:tabs>
        <w:ind w:left="1491"/>
        <w:rPr>
          <w:color w:val="auto"/>
        </w:rPr>
      </w:pPr>
    </w:p>
    <w:p w14:paraId="42290F36" w14:textId="77777777" w:rsidR="00384678" w:rsidRPr="007F2860" w:rsidRDefault="00384678" w:rsidP="00384678">
      <w:pPr>
        <w:pStyle w:val="Textblock"/>
        <w:numPr>
          <w:ilvl w:val="0"/>
          <w:numId w:val="0"/>
        </w:numPr>
        <w:tabs>
          <w:tab w:val="clear" w:pos="0"/>
          <w:tab w:val="left" w:pos="425"/>
          <w:tab w:val="left" w:pos="851"/>
          <w:tab w:val="num" w:pos="1494"/>
        </w:tabs>
        <w:spacing w:before="60" w:after="60" w:line="280" w:lineRule="exact"/>
        <w:rPr>
          <w:rFonts w:cs="Arial"/>
          <w:color w:val="auto"/>
          <w:szCs w:val="22"/>
        </w:rPr>
      </w:pPr>
    </w:p>
    <w:p w14:paraId="3C396415" w14:textId="77777777" w:rsidR="00384678" w:rsidRPr="007F2860" w:rsidRDefault="00384678" w:rsidP="00384678">
      <w:pPr>
        <w:pStyle w:val="Textblock"/>
        <w:numPr>
          <w:ilvl w:val="0"/>
          <w:numId w:val="0"/>
        </w:numPr>
        <w:tabs>
          <w:tab w:val="left" w:pos="425"/>
          <w:tab w:val="left" w:pos="851"/>
        </w:tabs>
        <w:spacing w:before="60" w:after="60" w:line="280" w:lineRule="exact"/>
        <w:rPr>
          <w:color w:val="auto"/>
        </w:rPr>
      </w:pPr>
      <w:r w:rsidRPr="007F2860">
        <w:rPr>
          <w:color w:val="auto"/>
        </w:rPr>
        <w:t xml:space="preserve">Zwischen der </w:t>
      </w:r>
      <w:r>
        <w:rPr>
          <w:color w:val="auto"/>
        </w:rPr>
        <w:t>(</w:t>
      </w:r>
      <w:r w:rsidRPr="007F2860">
        <w:rPr>
          <w:color w:val="auto"/>
        </w:rPr>
        <w:t>...</w:t>
      </w:r>
      <w:r>
        <w:rPr>
          <w:color w:val="auto"/>
        </w:rPr>
        <w:t xml:space="preserve">) </w:t>
      </w:r>
      <w:r w:rsidRPr="007F2860">
        <w:rPr>
          <w:color w:val="auto"/>
        </w:rPr>
        <w:t xml:space="preserve"> AG und dem Betriebsrat der Hauptverwaltung wird folgende Betriebsvereinbarung über die Regelung eines Bereitschaftsdienstes für die Hauptabteilungen Anwendungsentwicklung und EDV-Produktion geschlossen:</w:t>
      </w:r>
    </w:p>
    <w:p w14:paraId="00C14ED4"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rPr>
      </w:pPr>
    </w:p>
    <w:p w14:paraId="12F9BC49"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sz w:val="24"/>
        </w:rPr>
      </w:pPr>
      <w:r w:rsidRPr="007F2860">
        <w:rPr>
          <w:rStyle w:val="Fett"/>
          <w:color w:val="auto"/>
          <w:sz w:val="24"/>
        </w:rPr>
        <w:t>§ 1 Geltungsbereich</w:t>
      </w:r>
    </w:p>
    <w:p w14:paraId="11B908E0" w14:textId="77777777" w:rsidR="00384678" w:rsidRPr="007F2860" w:rsidRDefault="00384678" w:rsidP="00384678">
      <w:pPr>
        <w:pStyle w:val="Textblock"/>
        <w:numPr>
          <w:ilvl w:val="0"/>
          <w:numId w:val="0"/>
        </w:numPr>
        <w:tabs>
          <w:tab w:val="left" w:pos="425"/>
          <w:tab w:val="left" w:pos="851"/>
        </w:tabs>
        <w:spacing w:before="60" w:after="60" w:line="280" w:lineRule="exact"/>
        <w:rPr>
          <w:color w:val="auto"/>
        </w:rPr>
      </w:pPr>
      <w:r w:rsidRPr="007F2860">
        <w:rPr>
          <w:color w:val="auto"/>
        </w:rPr>
        <w:t>Diese Betriebsvereinbarung gilt für alle Mitarbeiter der Hauptabteilungen Anwendungsentwicklung und EDV-Produktion mit Ausnahme der AT-Mitarbeiter.</w:t>
      </w:r>
    </w:p>
    <w:p w14:paraId="02963BE1"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sz w:val="24"/>
        </w:rPr>
      </w:pPr>
    </w:p>
    <w:p w14:paraId="5883CEF0"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sz w:val="24"/>
        </w:rPr>
      </w:pPr>
      <w:r w:rsidRPr="007F2860">
        <w:rPr>
          <w:rStyle w:val="Fett"/>
          <w:color w:val="auto"/>
          <w:sz w:val="24"/>
        </w:rPr>
        <w:t>§ 2 Voraussetzungen</w:t>
      </w:r>
    </w:p>
    <w:p w14:paraId="53A6A51E" w14:textId="77777777" w:rsidR="00384678" w:rsidRPr="007F2860" w:rsidRDefault="00384678" w:rsidP="00384678">
      <w:pPr>
        <w:pStyle w:val="Textblock"/>
        <w:numPr>
          <w:ilvl w:val="0"/>
          <w:numId w:val="13"/>
        </w:numPr>
        <w:tabs>
          <w:tab w:val="left" w:pos="0"/>
          <w:tab w:val="left" w:pos="425"/>
          <w:tab w:val="left" w:pos="851"/>
        </w:tabs>
        <w:overflowPunct/>
        <w:autoSpaceDE/>
        <w:autoSpaceDN/>
        <w:adjustRightInd/>
        <w:spacing w:before="60" w:after="60" w:line="280" w:lineRule="exact"/>
        <w:textAlignment w:val="auto"/>
        <w:rPr>
          <w:color w:val="auto"/>
        </w:rPr>
      </w:pPr>
      <w:r w:rsidRPr="007F2860">
        <w:rPr>
          <w:color w:val="auto"/>
        </w:rPr>
        <w:t>Die Einrichtung eines Bereitschaftsdienstes ist nur in den Fällen möglich, in denen mit der Gefährdung gesetzlicher Termine oder der laufenden Verarbeitung zu rechnen ist.</w:t>
      </w:r>
    </w:p>
    <w:p w14:paraId="3B19537B" w14:textId="77777777" w:rsidR="00384678" w:rsidRPr="007F2860" w:rsidRDefault="00384678" w:rsidP="00384678">
      <w:pPr>
        <w:pStyle w:val="Textblock"/>
        <w:numPr>
          <w:ilvl w:val="0"/>
          <w:numId w:val="13"/>
        </w:numPr>
        <w:tabs>
          <w:tab w:val="left" w:pos="0"/>
          <w:tab w:val="left" w:pos="425"/>
          <w:tab w:val="left" w:pos="851"/>
        </w:tabs>
        <w:overflowPunct/>
        <w:autoSpaceDE/>
        <w:autoSpaceDN/>
        <w:adjustRightInd/>
        <w:spacing w:before="60" w:after="60" w:line="280" w:lineRule="exact"/>
        <w:textAlignment w:val="auto"/>
        <w:rPr>
          <w:color w:val="auto"/>
        </w:rPr>
      </w:pPr>
      <w:r w:rsidRPr="007F2860">
        <w:rPr>
          <w:color w:val="auto"/>
        </w:rPr>
        <w:t>Voraussetzung ist, dass die Notwendigkeit des Bereitschaftsdienstes vom Leiter der Hauptab</w:t>
      </w:r>
      <w:r>
        <w:rPr>
          <w:color w:val="auto"/>
        </w:rPr>
        <w:softHyphen/>
      </w:r>
      <w:r w:rsidRPr="007F2860">
        <w:rPr>
          <w:color w:val="auto"/>
        </w:rPr>
        <w:t xml:space="preserve">teilung Anwendungsentwicklung oder vom Leiter der Hauptabteilung EDV-Produktion festgestellt wird. Der Einsatzzeitraum muss über den zuständigen Vorgesetzten dem betroffenen Mitarbeiter in der Regel drei Tage vorher mitgeteilt werden. Der Mitarbeiter muss sich bereit erklärt haben, den Bereitschaftsdienst zu leisten. Ein bestimmter Bereitschaftsort, an dem sich der Arbeitnehmer während des Bereitschaftsdienstes aufzuhalten hat, wird nicht festgelegt; der Arbeitnehmer muss sich jedoch in den Grenzen der Stadt </w:t>
      </w:r>
      <w:r>
        <w:rPr>
          <w:color w:val="auto"/>
        </w:rPr>
        <w:t>(</w:t>
      </w:r>
      <w:r w:rsidRPr="007F2860">
        <w:rPr>
          <w:color w:val="auto"/>
        </w:rPr>
        <w:t>...</w:t>
      </w:r>
      <w:r>
        <w:rPr>
          <w:color w:val="auto"/>
        </w:rPr>
        <w:t>)</w:t>
      </w:r>
      <w:r w:rsidRPr="007F2860">
        <w:rPr>
          <w:color w:val="auto"/>
        </w:rPr>
        <w:t xml:space="preserve"> aufhalten.</w:t>
      </w:r>
    </w:p>
    <w:p w14:paraId="55A45885" w14:textId="77777777" w:rsidR="00384678" w:rsidRPr="007F2860" w:rsidRDefault="00384678" w:rsidP="00384678">
      <w:pPr>
        <w:pStyle w:val="Textblock"/>
        <w:numPr>
          <w:ilvl w:val="0"/>
          <w:numId w:val="13"/>
        </w:numPr>
        <w:tabs>
          <w:tab w:val="left" w:pos="0"/>
          <w:tab w:val="left" w:pos="425"/>
          <w:tab w:val="left" w:pos="851"/>
        </w:tabs>
        <w:overflowPunct/>
        <w:autoSpaceDE/>
        <w:autoSpaceDN/>
        <w:adjustRightInd/>
        <w:spacing w:before="60" w:after="60" w:line="280" w:lineRule="exact"/>
        <w:textAlignment w:val="auto"/>
        <w:rPr>
          <w:color w:val="auto"/>
        </w:rPr>
      </w:pPr>
      <w:r w:rsidRPr="007F2860">
        <w:rPr>
          <w:color w:val="auto"/>
        </w:rPr>
        <w:t>Wird in nicht vorhersehbaren Fällen durch den jeweiligen Abteilungs- oder Schichtleiter ein Mitarbeiter ausnahmsweise in Anspruch genommen, der nicht zum Bereitschaftsdienst eingeteilt ist, muss dies dem Leiter der betroffenen Hauptabteilung mit ausführlicher Begründung gemeldet werden. Der Betriebsrat und die Personalabteilung sind ebenfalls unverzüglich zu informieren.</w:t>
      </w:r>
    </w:p>
    <w:p w14:paraId="1CE4C10F"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rPr>
      </w:pPr>
    </w:p>
    <w:p w14:paraId="0ECF0EA8"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sz w:val="24"/>
        </w:rPr>
      </w:pPr>
      <w:r w:rsidRPr="007F2860">
        <w:rPr>
          <w:rStyle w:val="Fett"/>
          <w:color w:val="auto"/>
          <w:sz w:val="24"/>
        </w:rPr>
        <w:t>§ 3 Durchführung der Bereitschaft</w:t>
      </w:r>
    </w:p>
    <w:p w14:paraId="3871EAF8" w14:textId="77777777" w:rsidR="00384678" w:rsidRPr="007F2860" w:rsidRDefault="00384678" w:rsidP="00384678">
      <w:pPr>
        <w:pStyle w:val="Textblock"/>
        <w:numPr>
          <w:ilvl w:val="0"/>
          <w:numId w:val="0"/>
        </w:numPr>
        <w:tabs>
          <w:tab w:val="left" w:pos="425"/>
          <w:tab w:val="left" w:pos="851"/>
        </w:tabs>
        <w:spacing w:before="60" w:after="60" w:line="280" w:lineRule="exact"/>
        <w:rPr>
          <w:color w:val="auto"/>
        </w:rPr>
      </w:pPr>
      <w:r w:rsidRPr="007F2860">
        <w:rPr>
          <w:color w:val="auto"/>
        </w:rPr>
        <w:t xml:space="preserve">Mit der Einverständniserklärung zur Teilnahme am Bereitschaftsdienst verpflichtet sich der Mitarbeiter, dem Unternehmen durch telefonische Beratung oder persönlichen Einsatz zur Verfügung zu stehen. Der zur Bereitschaft eingeteilte Mitarbeiter erhält dazu für die Dauer seines Bereitschaftsdienstes einen Funkempfänger des Typs </w:t>
      </w:r>
      <w:r>
        <w:rPr>
          <w:color w:val="auto"/>
        </w:rPr>
        <w:t>(</w:t>
      </w:r>
      <w:r>
        <w:rPr>
          <w:rFonts w:eastAsia="Arial Unicode MS"/>
          <w:color w:val="auto"/>
        </w:rPr>
        <w:t>…)</w:t>
      </w:r>
      <w:r w:rsidRPr="007F2860">
        <w:rPr>
          <w:color w:val="auto"/>
        </w:rPr>
        <w:t xml:space="preserve">, mit dessen Hilfe er über den Funkrufdienst </w:t>
      </w:r>
      <w:r>
        <w:rPr>
          <w:color w:val="auto"/>
        </w:rPr>
        <w:t>(…)</w:t>
      </w:r>
      <w:r w:rsidRPr="007F2860">
        <w:rPr>
          <w:color w:val="auto"/>
        </w:rPr>
        <w:t xml:space="preserve"> im Bereich der Stadt </w:t>
      </w:r>
      <w:r>
        <w:rPr>
          <w:color w:val="auto"/>
        </w:rPr>
        <w:t>(</w:t>
      </w:r>
      <w:r w:rsidRPr="007F2860">
        <w:rPr>
          <w:color w:val="auto"/>
        </w:rPr>
        <w:t>...</w:t>
      </w:r>
      <w:r>
        <w:rPr>
          <w:color w:val="auto"/>
        </w:rPr>
        <w:t>)</w:t>
      </w:r>
      <w:r w:rsidRPr="007F2860">
        <w:rPr>
          <w:color w:val="auto"/>
        </w:rPr>
        <w:t xml:space="preserve"> erreicht werden kann. Der Mitarbeiter ist verpflichtet, sich unverzüglich nach Empfang eines entsprechenden Signals telefonisch mit dem Unternehmen in Verbindung zu setzen.</w:t>
      </w:r>
    </w:p>
    <w:p w14:paraId="054FFED2"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rPr>
      </w:pPr>
    </w:p>
    <w:p w14:paraId="68EF5FC8"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sz w:val="24"/>
        </w:rPr>
      </w:pPr>
      <w:r w:rsidRPr="007F2860">
        <w:rPr>
          <w:rStyle w:val="Fett"/>
          <w:color w:val="auto"/>
          <w:sz w:val="24"/>
        </w:rPr>
        <w:lastRenderedPageBreak/>
        <w:t>§ 4 Bereitschaftszeitraum und Vergütung</w:t>
      </w:r>
    </w:p>
    <w:p w14:paraId="423A5CEA" w14:textId="77777777" w:rsidR="00384678" w:rsidRPr="007F2860" w:rsidRDefault="00384678" w:rsidP="00384678">
      <w:pPr>
        <w:pStyle w:val="Textblock"/>
        <w:numPr>
          <w:ilvl w:val="0"/>
          <w:numId w:val="14"/>
        </w:numPr>
        <w:tabs>
          <w:tab w:val="left" w:pos="0"/>
          <w:tab w:val="left" w:pos="425"/>
          <w:tab w:val="left" w:pos="851"/>
        </w:tabs>
        <w:overflowPunct/>
        <w:autoSpaceDE/>
        <w:autoSpaceDN/>
        <w:adjustRightInd/>
        <w:spacing w:before="60" w:after="60" w:line="280" w:lineRule="exact"/>
        <w:textAlignment w:val="auto"/>
        <w:rPr>
          <w:color w:val="auto"/>
        </w:rPr>
      </w:pPr>
      <w:r w:rsidRPr="007F2860">
        <w:rPr>
          <w:color w:val="auto"/>
        </w:rPr>
        <w:t>Der Zeitraum des Bereitschaftsdienstes wird von dem zuständigen Vorgesetzten festgelegt; er gilt in vollem Umfang als Arbeitszeit und ist als solche zu vergüten, ggf. mit den tariflich vorgesehenen Zuschlägen.</w:t>
      </w:r>
    </w:p>
    <w:p w14:paraId="540B4E01" w14:textId="77777777" w:rsidR="00384678" w:rsidRPr="007F2860" w:rsidRDefault="00384678" w:rsidP="00384678">
      <w:pPr>
        <w:pStyle w:val="Textblock"/>
        <w:numPr>
          <w:ilvl w:val="0"/>
          <w:numId w:val="14"/>
        </w:numPr>
        <w:tabs>
          <w:tab w:val="left" w:pos="0"/>
          <w:tab w:val="left" w:pos="425"/>
          <w:tab w:val="left" w:pos="851"/>
        </w:tabs>
        <w:overflowPunct/>
        <w:autoSpaceDE/>
        <w:autoSpaceDN/>
        <w:adjustRightInd/>
        <w:spacing w:before="60" w:after="60" w:line="280" w:lineRule="exact"/>
        <w:textAlignment w:val="auto"/>
        <w:rPr>
          <w:color w:val="auto"/>
        </w:rPr>
      </w:pPr>
      <w:r w:rsidRPr="007F2860">
        <w:rPr>
          <w:color w:val="auto"/>
        </w:rPr>
        <w:t>Bei persönlichem Einsatz wird zusätzlich eine übertarifliche Zulage von .</w:t>
      </w:r>
      <w:r>
        <w:rPr>
          <w:color w:val="auto"/>
        </w:rPr>
        <w:t>(</w:t>
      </w:r>
      <w:r w:rsidRPr="007F2860">
        <w:rPr>
          <w:color w:val="auto"/>
        </w:rPr>
        <w:t>..</w:t>
      </w:r>
      <w:r>
        <w:rPr>
          <w:color w:val="auto"/>
        </w:rPr>
        <w:t xml:space="preserve">) </w:t>
      </w:r>
      <w:r w:rsidRPr="007F2860">
        <w:rPr>
          <w:color w:val="auto"/>
        </w:rPr>
        <w:t>Euro vergütet. Außerdem werden für Fahrten von der Wohnung zur Arbeitsstätte und zurück gegen entsprechenden Nachweis die Taxikosten oder bei Benutzung des eigenen Pkw Kilometergeld nach § 5 Nr. 3 der Reise- und Umzugskostenordnung für das Unternehmen gezahlt. Entsprechend der Tarifverein</w:t>
      </w:r>
      <w:r>
        <w:rPr>
          <w:color w:val="auto"/>
        </w:rPr>
        <w:softHyphen/>
      </w:r>
      <w:r w:rsidRPr="007F2860">
        <w:rPr>
          <w:color w:val="auto"/>
        </w:rPr>
        <w:t xml:space="preserve">barung vom </w:t>
      </w:r>
      <w:r>
        <w:rPr>
          <w:color w:val="auto"/>
        </w:rPr>
        <w:t>(</w:t>
      </w:r>
      <w:r w:rsidRPr="007F2860">
        <w:rPr>
          <w:color w:val="auto"/>
        </w:rPr>
        <w:t>...</w:t>
      </w:r>
      <w:r>
        <w:rPr>
          <w:color w:val="auto"/>
        </w:rPr>
        <w:t>)</w:t>
      </w:r>
      <w:r w:rsidRPr="007F2860">
        <w:rPr>
          <w:color w:val="auto"/>
        </w:rPr>
        <w:t xml:space="preserve"> darf die werktägliche Arbeitszeit über zehn Stunden betragen, wenn sie zu einem erheblichen Teil Bereitschaftsdienst umfasst; der Ausgleich auf durchschnittlich acht Stunden muss in einem Zeitraum von zwölf Monaten erfolgen.</w:t>
      </w:r>
    </w:p>
    <w:p w14:paraId="50BC63C3"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rPr>
      </w:pPr>
    </w:p>
    <w:p w14:paraId="664C2327"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sz w:val="24"/>
        </w:rPr>
      </w:pPr>
      <w:r w:rsidRPr="007F2860">
        <w:rPr>
          <w:rStyle w:val="Fett"/>
          <w:color w:val="auto"/>
          <w:sz w:val="24"/>
        </w:rPr>
        <w:t>§ 5 Beilegung von Streitigkeiten</w:t>
      </w:r>
    </w:p>
    <w:p w14:paraId="11ED7DEA" w14:textId="77777777" w:rsidR="00384678" w:rsidRPr="007F2860" w:rsidRDefault="00384678" w:rsidP="00384678">
      <w:pPr>
        <w:pStyle w:val="Textblock"/>
        <w:numPr>
          <w:ilvl w:val="0"/>
          <w:numId w:val="0"/>
        </w:numPr>
        <w:tabs>
          <w:tab w:val="left" w:pos="425"/>
          <w:tab w:val="left" w:pos="851"/>
        </w:tabs>
        <w:spacing w:before="60" w:after="60" w:line="280" w:lineRule="exact"/>
        <w:rPr>
          <w:color w:val="auto"/>
        </w:rPr>
      </w:pPr>
      <w:r w:rsidRPr="007F2860">
        <w:rPr>
          <w:color w:val="auto"/>
        </w:rPr>
        <w:t>Ergeben sich aus der Anwendung und Auslegung dieser Vereinbarung Meinungsverschiedenheiten oder Auslegungsschwierigkeiten, so sind diese einvernehmlich beizulegen. Ist Einvernehmen nicht zu erzielen, so entscheidet die Einigungsstelle nach § 76 BetrVG.</w:t>
      </w:r>
    </w:p>
    <w:p w14:paraId="5F043F51"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rPr>
      </w:pPr>
    </w:p>
    <w:p w14:paraId="40FDE0F0" w14:textId="77777777" w:rsidR="00384678" w:rsidRPr="007F2860" w:rsidRDefault="00384678" w:rsidP="00384678">
      <w:pPr>
        <w:pStyle w:val="Textblock"/>
        <w:numPr>
          <w:ilvl w:val="0"/>
          <w:numId w:val="0"/>
        </w:numPr>
        <w:tabs>
          <w:tab w:val="left" w:pos="425"/>
          <w:tab w:val="left" w:pos="851"/>
        </w:tabs>
        <w:spacing w:before="60" w:after="60" w:line="280" w:lineRule="exact"/>
        <w:rPr>
          <w:rStyle w:val="Fett"/>
          <w:color w:val="auto"/>
          <w:sz w:val="24"/>
        </w:rPr>
      </w:pPr>
      <w:r w:rsidRPr="007F2860">
        <w:rPr>
          <w:rStyle w:val="Fett"/>
          <w:color w:val="auto"/>
          <w:sz w:val="24"/>
        </w:rPr>
        <w:t>§ 6 Schlussbestimmungen</w:t>
      </w:r>
    </w:p>
    <w:p w14:paraId="66AB4136" w14:textId="77777777" w:rsidR="00384678" w:rsidRPr="007F2860" w:rsidRDefault="00384678" w:rsidP="00384678">
      <w:pPr>
        <w:pStyle w:val="Textblock"/>
        <w:numPr>
          <w:ilvl w:val="0"/>
          <w:numId w:val="15"/>
        </w:numPr>
        <w:tabs>
          <w:tab w:val="left" w:pos="0"/>
          <w:tab w:val="left" w:pos="425"/>
          <w:tab w:val="left" w:pos="851"/>
        </w:tabs>
        <w:overflowPunct/>
        <w:autoSpaceDE/>
        <w:autoSpaceDN/>
        <w:adjustRightInd/>
        <w:spacing w:before="60" w:after="60" w:line="280" w:lineRule="exact"/>
        <w:textAlignment w:val="auto"/>
        <w:rPr>
          <w:color w:val="auto"/>
        </w:rPr>
      </w:pPr>
      <w:r w:rsidRPr="007F2860">
        <w:rPr>
          <w:color w:val="auto"/>
        </w:rPr>
        <w:t xml:space="preserve">Diese Vereinbarung tritt am </w:t>
      </w:r>
      <w:r>
        <w:rPr>
          <w:color w:val="auto"/>
        </w:rPr>
        <w:t>(</w:t>
      </w:r>
      <w:r w:rsidRPr="007F2860">
        <w:rPr>
          <w:color w:val="auto"/>
        </w:rPr>
        <w:t>...</w:t>
      </w:r>
      <w:r>
        <w:rPr>
          <w:color w:val="auto"/>
        </w:rPr>
        <w:t>)</w:t>
      </w:r>
      <w:r w:rsidRPr="007F2860">
        <w:rPr>
          <w:color w:val="auto"/>
        </w:rPr>
        <w:t xml:space="preserve"> in Kraft. Sie ist mit einer Frist von drei Monaten zum Ende eines Kalenderhalbjahrs kündbar.</w:t>
      </w:r>
    </w:p>
    <w:p w14:paraId="52F18F48" w14:textId="77777777" w:rsidR="00384678" w:rsidRPr="007F2860" w:rsidRDefault="00384678" w:rsidP="00384678">
      <w:pPr>
        <w:pStyle w:val="Textblock"/>
        <w:numPr>
          <w:ilvl w:val="0"/>
          <w:numId w:val="15"/>
        </w:numPr>
        <w:tabs>
          <w:tab w:val="left" w:pos="0"/>
          <w:tab w:val="left" w:pos="425"/>
          <w:tab w:val="left" w:pos="851"/>
        </w:tabs>
        <w:overflowPunct/>
        <w:autoSpaceDE/>
        <w:autoSpaceDN/>
        <w:adjustRightInd/>
        <w:spacing w:before="60" w:after="60" w:line="280" w:lineRule="exact"/>
        <w:textAlignment w:val="auto"/>
        <w:rPr>
          <w:color w:val="auto"/>
        </w:rPr>
      </w:pPr>
      <w:r w:rsidRPr="007F2860">
        <w:rPr>
          <w:color w:val="auto"/>
        </w:rPr>
        <w:t>Änderungen und Ergänzungen dieser Betriebsvereinbarung bedürfen zu ihrer Rechtswirksamkeit der Schriftform. Sollten Bestandteile dieser Betriebsvereinbarung ganz oder teilweise nichtig sein oder unwirksam werden, wird dadurch die Wirksamkeit der Betriebsvereinbarung im Übrigen nicht berührt.</w:t>
      </w:r>
    </w:p>
    <w:p w14:paraId="18128EC2" w14:textId="77777777" w:rsidR="00384678" w:rsidRPr="007F2860" w:rsidRDefault="00384678" w:rsidP="00384678">
      <w:pPr>
        <w:pStyle w:val="Textblock"/>
        <w:numPr>
          <w:ilvl w:val="0"/>
          <w:numId w:val="0"/>
        </w:numPr>
        <w:tabs>
          <w:tab w:val="left" w:pos="425"/>
          <w:tab w:val="left" w:pos="851"/>
        </w:tabs>
        <w:spacing w:before="60" w:after="60" w:line="280" w:lineRule="exact"/>
        <w:ind w:hanging="360"/>
        <w:rPr>
          <w:rFonts w:cs="Arial"/>
          <w:color w:val="auto"/>
          <w:szCs w:val="22"/>
        </w:rPr>
      </w:pPr>
    </w:p>
    <w:p w14:paraId="1AFB5489" w14:textId="77777777" w:rsidR="00384678" w:rsidRPr="007F2860" w:rsidRDefault="00384678" w:rsidP="00384678">
      <w:pPr>
        <w:pStyle w:val="Textblock"/>
        <w:numPr>
          <w:ilvl w:val="0"/>
          <w:numId w:val="0"/>
        </w:numPr>
        <w:tabs>
          <w:tab w:val="left" w:pos="425"/>
          <w:tab w:val="left" w:pos="851"/>
        </w:tabs>
        <w:spacing w:before="60" w:after="60" w:line="280" w:lineRule="exact"/>
        <w:rPr>
          <w:rFonts w:cs="Arial"/>
          <w:color w:val="auto"/>
          <w:szCs w:val="22"/>
        </w:rPr>
      </w:pPr>
      <w:r w:rsidRPr="007F2860">
        <w:rPr>
          <w:rFonts w:cs="Arial"/>
          <w:color w:val="auto"/>
          <w:szCs w:val="22"/>
        </w:rPr>
        <w:t>Musterstadt, Datum</w:t>
      </w:r>
    </w:p>
    <w:p w14:paraId="36E6DE1E" w14:textId="77777777" w:rsidR="00384678" w:rsidRPr="007F2860" w:rsidRDefault="00384678" w:rsidP="00384678">
      <w:pPr>
        <w:pStyle w:val="Textblock"/>
        <w:numPr>
          <w:ilvl w:val="0"/>
          <w:numId w:val="0"/>
        </w:numPr>
        <w:tabs>
          <w:tab w:val="left" w:pos="425"/>
          <w:tab w:val="left" w:pos="851"/>
        </w:tabs>
        <w:spacing w:before="60" w:after="60" w:line="280" w:lineRule="exact"/>
        <w:rPr>
          <w:rFonts w:cs="Arial"/>
          <w:color w:val="auto"/>
          <w:szCs w:val="22"/>
        </w:rPr>
      </w:pPr>
    </w:p>
    <w:p w14:paraId="51E3F047" w14:textId="77777777" w:rsidR="00384678" w:rsidRPr="007F2860" w:rsidRDefault="00384678" w:rsidP="00384678">
      <w:pPr>
        <w:pStyle w:val="Textblock"/>
        <w:numPr>
          <w:ilvl w:val="0"/>
          <w:numId w:val="0"/>
        </w:numPr>
        <w:tabs>
          <w:tab w:val="left" w:pos="425"/>
          <w:tab w:val="left" w:pos="851"/>
        </w:tabs>
        <w:spacing w:before="60" w:after="60" w:line="280" w:lineRule="exact"/>
        <w:rPr>
          <w:rFonts w:cs="Arial"/>
          <w:color w:val="auto"/>
          <w:szCs w:val="22"/>
        </w:rPr>
      </w:pPr>
      <w:r w:rsidRPr="007F2860">
        <w:rPr>
          <w:rFonts w:cs="Arial"/>
          <w:color w:val="auto"/>
          <w:szCs w:val="22"/>
        </w:rPr>
        <w:t>Unterschrift Betriebsratsvorsitzender, Unterschrift Geschäftsführer</w:t>
      </w:r>
    </w:p>
    <w:sectPr w:rsidR="00384678" w:rsidRPr="007F2860"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91BD6F" w14:textId="77777777" w:rsidR="000A4890" w:rsidRDefault="000A4890" w:rsidP="00645C6A">
      <w:pPr>
        <w:spacing w:after="0" w:line="240" w:lineRule="auto"/>
      </w:pPr>
      <w:r>
        <w:separator/>
      </w:r>
    </w:p>
  </w:endnote>
  <w:endnote w:type="continuationSeparator" w:id="0">
    <w:p w14:paraId="5F366FD0" w14:textId="77777777" w:rsidR="000A4890" w:rsidRDefault="000A489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D22B4" w14:textId="5FBE5EC3"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384678">
      <w:rPr>
        <w:sz w:val="16"/>
        <w:szCs w:val="16"/>
      </w:rPr>
      <w:t>Septe</w:t>
    </w:r>
    <w:r w:rsidR="00097E64">
      <w:rPr>
        <w:sz w:val="16"/>
        <w:szCs w:val="16"/>
      </w:rPr>
      <w:t>mber</w:t>
    </w:r>
    <w:r w:rsidR="006E17BA">
      <w:rPr>
        <w:sz w:val="16"/>
        <w:szCs w:val="16"/>
      </w:rPr>
      <w:t xml:space="preserve"> 20</w:t>
    </w:r>
    <w:r w:rsidR="00384678">
      <w:rPr>
        <w:sz w:val="16"/>
        <w:szCs w:val="16"/>
      </w:rPr>
      <w:t>20</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520CF" w14:textId="77777777" w:rsidR="000A4890" w:rsidRDefault="000A4890" w:rsidP="00645C6A">
      <w:pPr>
        <w:spacing w:after="0" w:line="240" w:lineRule="auto"/>
      </w:pPr>
      <w:r>
        <w:separator/>
      </w:r>
    </w:p>
  </w:footnote>
  <w:footnote w:type="continuationSeparator" w:id="0">
    <w:p w14:paraId="5119A72B" w14:textId="77777777" w:rsidR="000A4890" w:rsidRDefault="000A4890"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06E95"/>
    <w:multiLevelType w:val="hybridMultilevel"/>
    <w:tmpl w:val="E2D6D4DE"/>
    <w:lvl w:ilvl="0" w:tplc="04070015">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3D5703DF"/>
    <w:multiLevelType w:val="hybridMultilevel"/>
    <w:tmpl w:val="A7DEA2B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C35367E"/>
    <w:multiLevelType w:val="hybridMultilevel"/>
    <w:tmpl w:val="20246CB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1"/>
  </w:num>
  <w:num w:numId="3">
    <w:abstractNumId w:val="10"/>
  </w:num>
  <w:num w:numId="4">
    <w:abstractNumId w:val="8"/>
  </w:num>
  <w:num w:numId="5">
    <w:abstractNumId w:val="2"/>
  </w:num>
  <w:num w:numId="6">
    <w:abstractNumId w:val="1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num>
  <w:num w:numId="10">
    <w:abstractNumId w:val="6"/>
  </w:num>
  <w:num w:numId="11">
    <w:abstractNumId w:val="11"/>
  </w:num>
  <w:num w:numId="12">
    <w:abstractNumId w:val="4"/>
  </w:num>
  <w:num w:numId="13">
    <w:abstractNumId w:val="0"/>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A4890"/>
    <w:rsid w:val="000C1235"/>
    <w:rsid w:val="000F3088"/>
    <w:rsid w:val="00105AD1"/>
    <w:rsid w:val="0012313C"/>
    <w:rsid w:val="00154639"/>
    <w:rsid w:val="00267D40"/>
    <w:rsid w:val="00384678"/>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link w:val="TextblockChar"/>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character" w:customStyle="1" w:styleId="TextblockChar">
    <w:name w:val="Textblock Char"/>
    <w:link w:val="Textblock"/>
    <w:uiPriority w:val="99"/>
    <w:locked/>
    <w:rsid w:val="00384678"/>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547</Words>
  <Characters>3448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2020-07-15T11:00:00Z</dcterms:created>
  <dcterms:modified xsi:type="dcterms:W3CDTF">2020-07-15T11:00:00Z</dcterms:modified>
</cp:coreProperties>
</file>