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7CA4D" w14:textId="77777777" w:rsidR="00645C6A" w:rsidRPr="0043100C" w:rsidRDefault="00645C6A"/>
    <w:p w14:paraId="00108814" w14:textId="77777777" w:rsidR="005D0ABA" w:rsidRDefault="005D0ABA" w:rsidP="00430838">
      <w:pPr>
        <w:rPr>
          <w:rFonts w:cs="Times New Roman"/>
          <w:b/>
          <w:color w:val="943634" w:themeColor="accent2" w:themeShade="BF"/>
          <w:sz w:val="28"/>
          <w:szCs w:val="28"/>
        </w:rPr>
      </w:pPr>
      <w:r w:rsidRPr="005D0ABA">
        <w:rPr>
          <w:rFonts w:cs="Times New Roman"/>
          <w:b/>
          <w:color w:val="943634" w:themeColor="accent2" w:themeShade="BF"/>
          <w:sz w:val="28"/>
          <w:szCs w:val="28"/>
        </w:rPr>
        <w:t>Abfindung: Alles Wichtige auf einen Blick</w:t>
      </w:r>
    </w:p>
    <w:tbl>
      <w:tblPr>
        <w:tblStyle w:val="Tabellenraster"/>
        <w:tblW w:w="0" w:type="auto"/>
        <w:tblInd w:w="85" w:type="dxa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338"/>
        <w:gridCol w:w="1477"/>
      </w:tblGrid>
      <w:tr w:rsidR="005D0ABA" w:rsidRPr="005D0ABA" w14:paraId="25D8BFD8" w14:textId="77777777" w:rsidTr="002B4AA9">
        <w:tc>
          <w:tcPr>
            <w:tcW w:w="7338" w:type="dxa"/>
            <w:shd w:val="clear" w:color="auto" w:fill="C0C0C0"/>
          </w:tcPr>
          <w:p w14:paraId="0DC529C2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  <w:b/>
              </w:rPr>
            </w:pPr>
            <w:r w:rsidRPr="005D0ABA">
              <w:rPr>
                <w:rFonts w:cstheme="minorHAnsi"/>
                <w:b/>
              </w:rPr>
              <w:t>Zu tun:</w:t>
            </w:r>
          </w:p>
        </w:tc>
        <w:tc>
          <w:tcPr>
            <w:tcW w:w="1477" w:type="dxa"/>
            <w:shd w:val="clear" w:color="auto" w:fill="C0C0C0"/>
          </w:tcPr>
          <w:p w14:paraId="5FDFC015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cstheme="minorHAnsi"/>
                <w:b/>
              </w:rPr>
            </w:pPr>
            <w:r w:rsidRPr="005D0ABA">
              <w:rPr>
                <w:rFonts w:cstheme="minorHAnsi"/>
                <w:b/>
              </w:rPr>
              <w:t>Erledigt:</w:t>
            </w:r>
          </w:p>
        </w:tc>
      </w:tr>
      <w:tr w:rsidR="005D0ABA" w:rsidRPr="005D0ABA" w14:paraId="19338581" w14:textId="77777777" w:rsidTr="002B4AA9">
        <w:tc>
          <w:tcPr>
            <w:tcW w:w="7338" w:type="dxa"/>
          </w:tcPr>
          <w:p w14:paraId="07448F9F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5D0ABA">
              <w:rPr>
                <w:rFonts w:cstheme="minorHAnsi"/>
              </w:rPr>
              <w:t>Beachten Sie: Der Betriebsrat hat sich in zumindest zwei Bereichen seiner Arbeit mit diesem Thema zu befassen:</w:t>
            </w:r>
          </w:p>
          <w:p w14:paraId="6C468B8B" w14:textId="77777777" w:rsidR="005D0ABA" w:rsidRPr="005D0ABA" w:rsidRDefault="005D0ABA" w:rsidP="005D0ABA">
            <w:pPr>
              <w:numPr>
                <w:ilvl w:val="0"/>
                <w:numId w:val="4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cstheme="minorHAnsi"/>
              </w:rPr>
            </w:pPr>
            <w:r w:rsidRPr="005D0ABA">
              <w:rPr>
                <w:rFonts w:cstheme="minorHAnsi"/>
              </w:rPr>
              <w:t xml:space="preserve">beim </w:t>
            </w:r>
            <w:r w:rsidRPr="005D0ABA">
              <w:rPr>
                <w:rFonts w:cstheme="minorHAnsi"/>
                <w:b/>
              </w:rPr>
              <w:t>Verhandeln eines Sozialplans</w:t>
            </w:r>
            <w:r w:rsidRPr="005D0ABA">
              <w:rPr>
                <w:rFonts w:cstheme="minorHAnsi"/>
              </w:rPr>
              <w:t xml:space="preserve"> nach § 112 BetrVG (in Sozialplänen sind regelmäßig Abfindungsregelungen enthalten) und</w:t>
            </w:r>
          </w:p>
          <w:p w14:paraId="696449F5" w14:textId="77777777" w:rsidR="005D0ABA" w:rsidRPr="005D0ABA" w:rsidRDefault="005D0ABA" w:rsidP="005D0ABA">
            <w:pPr>
              <w:numPr>
                <w:ilvl w:val="0"/>
                <w:numId w:val="4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cstheme="minorHAnsi"/>
              </w:rPr>
            </w:pPr>
            <w:r w:rsidRPr="005D0ABA">
              <w:rPr>
                <w:rFonts w:cstheme="minorHAnsi"/>
              </w:rPr>
              <w:t xml:space="preserve">bei der </w:t>
            </w:r>
            <w:r w:rsidRPr="005D0ABA">
              <w:rPr>
                <w:rFonts w:cstheme="minorHAnsi"/>
                <w:b/>
              </w:rPr>
              <w:t>Beratung von Arbeitnehmern</w:t>
            </w:r>
            <w:r w:rsidRPr="005D0ABA">
              <w:rPr>
                <w:rFonts w:cstheme="minorHAnsi"/>
              </w:rPr>
              <w:t xml:space="preserve">, denen </w:t>
            </w:r>
            <w:r w:rsidRPr="005D0ABA">
              <w:rPr>
                <w:rFonts w:cstheme="minorHAnsi"/>
                <w:b/>
              </w:rPr>
              <w:t>Aufhebungs- oder Abwicklungsverträge</w:t>
            </w:r>
            <w:r w:rsidRPr="005D0ABA">
              <w:rPr>
                <w:rFonts w:cstheme="minorHAnsi"/>
              </w:rPr>
              <w:t xml:space="preserve"> angeboten werden oder denen eine </w:t>
            </w:r>
            <w:r w:rsidRPr="005D0ABA">
              <w:rPr>
                <w:rFonts w:cstheme="minorHAnsi"/>
                <w:b/>
              </w:rPr>
              <w:t>betriebsbedingte Kündigung</w:t>
            </w:r>
            <w:r w:rsidRPr="005D0ABA">
              <w:rPr>
                <w:rFonts w:cstheme="minorHAnsi"/>
              </w:rPr>
              <w:t xml:space="preserve"> droht.</w:t>
            </w:r>
          </w:p>
        </w:tc>
        <w:tc>
          <w:tcPr>
            <w:tcW w:w="1477" w:type="dxa"/>
          </w:tcPr>
          <w:p w14:paraId="47761C96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cstheme="minorHAnsi"/>
                <w:sz w:val="56"/>
                <w:szCs w:val="56"/>
              </w:rPr>
            </w:pPr>
            <w:r w:rsidRPr="005D0ABA">
              <w:rPr>
                <w:rFonts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0ABA">
              <w:rPr>
                <w:rFonts w:cstheme="minorHAnsi"/>
              </w:rPr>
              <w:instrText xml:space="preserve"> FORMCHECKBOX </w:instrText>
            </w:r>
            <w:r w:rsidRPr="005D0ABA">
              <w:rPr>
                <w:rFonts w:cstheme="minorHAnsi"/>
              </w:rPr>
            </w:r>
            <w:r w:rsidRPr="005D0ABA">
              <w:rPr>
                <w:rFonts w:cstheme="minorHAnsi"/>
              </w:rPr>
              <w:fldChar w:fldCharType="separate"/>
            </w:r>
            <w:r w:rsidRPr="005D0ABA">
              <w:rPr>
                <w:rFonts w:cstheme="minorHAnsi"/>
              </w:rPr>
              <w:fldChar w:fldCharType="end"/>
            </w:r>
          </w:p>
        </w:tc>
      </w:tr>
      <w:tr w:rsidR="005D0ABA" w:rsidRPr="005D0ABA" w14:paraId="569E383D" w14:textId="77777777" w:rsidTr="002B4AA9">
        <w:tc>
          <w:tcPr>
            <w:tcW w:w="7338" w:type="dxa"/>
          </w:tcPr>
          <w:p w14:paraId="689565A0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5D0ABA">
              <w:rPr>
                <w:rFonts w:cstheme="minorHAnsi"/>
              </w:rPr>
              <w:t xml:space="preserve">Beim </w:t>
            </w:r>
            <w:r w:rsidRPr="005D0ABA">
              <w:rPr>
                <w:rFonts w:cstheme="minorHAnsi"/>
                <w:b/>
              </w:rPr>
              <w:t>Aufhebungs- oder Abwicklungsvertrag</w:t>
            </w:r>
            <w:r w:rsidRPr="005D0ABA">
              <w:rPr>
                <w:rFonts w:cstheme="minorHAnsi"/>
              </w:rPr>
              <w:t>:</w:t>
            </w:r>
          </w:p>
          <w:p w14:paraId="46689B11" w14:textId="77777777" w:rsidR="005D0ABA" w:rsidRPr="005D0ABA" w:rsidRDefault="005D0ABA" w:rsidP="005D0ABA">
            <w:pPr>
              <w:numPr>
                <w:ilvl w:val="0"/>
                <w:numId w:val="5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cstheme="minorHAnsi"/>
              </w:rPr>
            </w:pPr>
            <w:r w:rsidRPr="005D0ABA">
              <w:rPr>
                <w:rFonts w:cstheme="minorHAnsi"/>
              </w:rPr>
              <w:t xml:space="preserve">Hat der Betroffene schon einen neuen Job in Aussicht, sollte er die Abfindung unbedingt „mitnehmen“. </w:t>
            </w:r>
          </w:p>
          <w:p w14:paraId="3611C341" w14:textId="77777777" w:rsidR="005D0ABA" w:rsidRPr="005D0ABA" w:rsidRDefault="005D0ABA" w:rsidP="005D0ABA">
            <w:pPr>
              <w:numPr>
                <w:ilvl w:val="0"/>
                <w:numId w:val="5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cstheme="minorHAnsi"/>
              </w:rPr>
            </w:pPr>
            <w:r w:rsidRPr="005D0ABA">
              <w:rPr>
                <w:rFonts w:cstheme="minorHAnsi"/>
              </w:rPr>
              <w:t>Ist dies nicht der Fall, gilt es Folgendes zu bedenken: Mit solchen Verträgen verzichten die Kollegen auf alle rechtlichen Schutzmöglichkeiten. Der Arbeitsplatz ist dann unwiderruflich verloren. Zudem riskieren sie ein Ruhen oder eine Sperrung des Arbeitslosengeldes.</w:t>
            </w:r>
          </w:p>
        </w:tc>
        <w:tc>
          <w:tcPr>
            <w:tcW w:w="1477" w:type="dxa"/>
          </w:tcPr>
          <w:p w14:paraId="627C538D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cstheme="minorHAnsi"/>
              </w:rPr>
            </w:pPr>
            <w:r w:rsidRPr="005D0ABA">
              <w:rPr>
                <w:rFonts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0ABA">
              <w:rPr>
                <w:rFonts w:cstheme="minorHAnsi"/>
              </w:rPr>
              <w:instrText xml:space="preserve"> FORMCHECKBOX </w:instrText>
            </w:r>
            <w:r w:rsidRPr="005D0ABA">
              <w:rPr>
                <w:rFonts w:cstheme="minorHAnsi"/>
              </w:rPr>
            </w:r>
            <w:r w:rsidRPr="005D0ABA">
              <w:rPr>
                <w:rFonts w:cstheme="minorHAnsi"/>
              </w:rPr>
              <w:fldChar w:fldCharType="separate"/>
            </w:r>
            <w:r w:rsidRPr="005D0ABA">
              <w:rPr>
                <w:rFonts w:cstheme="minorHAnsi"/>
              </w:rPr>
              <w:fldChar w:fldCharType="end"/>
            </w:r>
          </w:p>
        </w:tc>
      </w:tr>
      <w:tr w:rsidR="005D0ABA" w:rsidRPr="005D0ABA" w14:paraId="354D21EF" w14:textId="77777777" w:rsidTr="002B4AA9">
        <w:tc>
          <w:tcPr>
            <w:tcW w:w="7338" w:type="dxa"/>
          </w:tcPr>
          <w:p w14:paraId="0EE06B35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5D0ABA">
              <w:rPr>
                <w:rFonts w:cstheme="minorHAnsi"/>
              </w:rPr>
              <w:t xml:space="preserve">Handelt es sich um eine </w:t>
            </w:r>
            <w:r w:rsidRPr="005D0ABA">
              <w:rPr>
                <w:rFonts w:cstheme="minorHAnsi"/>
                <w:b/>
              </w:rPr>
              <w:t>betriebsbedingte Kündigung</w:t>
            </w:r>
            <w:r w:rsidRPr="005D0ABA">
              <w:rPr>
                <w:rFonts w:cstheme="minorHAnsi"/>
              </w:rPr>
              <w:t xml:space="preserve">, hat der Arbeitnehmer nach § 1a Abs. 1 KSchG ein Wahlrecht: </w:t>
            </w:r>
            <w:r w:rsidRPr="005D0ABA">
              <w:rPr>
                <w:rFonts w:cstheme="minorHAnsi"/>
                <w:b/>
              </w:rPr>
              <w:t>Verzichtet</w:t>
            </w:r>
            <w:r w:rsidRPr="005D0ABA">
              <w:rPr>
                <w:rFonts w:cstheme="minorHAnsi"/>
              </w:rPr>
              <w:t xml:space="preserve"> er freiwillig auf die </w:t>
            </w:r>
            <w:r w:rsidRPr="005D0ABA">
              <w:rPr>
                <w:rFonts w:cstheme="minorHAnsi"/>
                <w:b/>
              </w:rPr>
              <w:t>Kündigungsschutzklage</w:t>
            </w:r>
            <w:r w:rsidRPr="005D0ABA">
              <w:rPr>
                <w:rFonts w:cstheme="minorHAnsi"/>
              </w:rPr>
              <w:t xml:space="preserve">, erhält er eine </w:t>
            </w:r>
            <w:r w:rsidRPr="005D0ABA">
              <w:rPr>
                <w:rFonts w:cstheme="minorHAnsi"/>
                <w:b/>
              </w:rPr>
              <w:t>Abfindung.</w:t>
            </w:r>
            <w:r w:rsidRPr="005D0ABA">
              <w:rPr>
                <w:rFonts w:cstheme="minorHAnsi"/>
              </w:rPr>
              <w:t xml:space="preserve"> Gemäß § 1a Abs. 2 KSchG beträgt die </w:t>
            </w:r>
            <w:r w:rsidRPr="005D0ABA">
              <w:rPr>
                <w:rFonts w:cstheme="minorHAnsi"/>
                <w:b/>
              </w:rPr>
              <w:t>Höhe der Abfindung</w:t>
            </w:r>
            <w:r w:rsidRPr="005D0ABA">
              <w:rPr>
                <w:rFonts w:cstheme="minorHAnsi"/>
              </w:rPr>
              <w:t xml:space="preserve"> einen halben Monatsverdienst für jedes Jahr Betriebszugehörigkeit.</w:t>
            </w:r>
          </w:p>
        </w:tc>
        <w:tc>
          <w:tcPr>
            <w:tcW w:w="1477" w:type="dxa"/>
          </w:tcPr>
          <w:p w14:paraId="527D8B12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cstheme="minorHAnsi"/>
              </w:rPr>
            </w:pPr>
            <w:r w:rsidRPr="005D0ABA">
              <w:rPr>
                <w:rFonts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0ABA">
              <w:rPr>
                <w:rFonts w:cstheme="minorHAnsi"/>
              </w:rPr>
              <w:instrText xml:space="preserve"> FORMCHECKBOX </w:instrText>
            </w:r>
            <w:r w:rsidRPr="005D0ABA">
              <w:rPr>
                <w:rFonts w:cstheme="minorHAnsi"/>
              </w:rPr>
            </w:r>
            <w:r w:rsidRPr="005D0ABA">
              <w:rPr>
                <w:rFonts w:cstheme="minorHAnsi"/>
              </w:rPr>
              <w:fldChar w:fldCharType="separate"/>
            </w:r>
            <w:r w:rsidRPr="005D0ABA">
              <w:rPr>
                <w:rFonts w:cstheme="minorHAnsi"/>
              </w:rPr>
              <w:fldChar w:fldCharType="end"/>
            </w:r>
          </w:p>
        </w:tc>
      </w:tr>
      <w:tr w:rsidR="005D0ABA" w:rsidRPr="005D0ABA" w14:paraId="5F3F89AD" w14:textId="77777777" w:rsidTr="002B4AA9">
        <w:tc>
          <w:tcPr>
            <w:tcW w:w="7338" w:type="dxa"/>
          </w:tcPr>
          <w:p w14:paraId="6B1B92FB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5D0ABA">
              <w:rPr>
                <w:rFonts w:cstheme="minorHAnsi"/>
                <w:b/>
              </w:rPr>
              <w:t>§ 9 KSchG</w:t>
            </w:r>
            <w:r w:rsidRPr="005D0ABA">
              <w:rPr>
                <w:rFonts w:cstheme="minorHAnsi"/>
              </w:rPr>
              <w:t xml:space="preserve"> trifft eine weitere Regelung über Abfindungen für den Fall, dass das Arbeitsgericht feststellt, dass die </w:t>
            </w:r>
            <w:r w:rsidRPr="005D0ABA">
              <w:rPr>
                <w:rFonts w:cstheme="minorHAnsi"/>
                <w:b/>
              </w:rPr>
              <w:t xml:space="preserve">Kündigung zwar rechtswidrig, eine Weiterbeschäftigung aber für beide Parteien nicht mehr tragbar </w:t>
            </w:r>
            <w:r w:rsidRPr="005D0ABA">
              <w:rPr>
                <w:rFonts w:cstheme="minorHAnsi"/>
              </w:rPr>
              <w:t xml:space="preserve">ist. Auf Antrag des Arbeitnehmers oder des Arbeitgebers </w:t>
            </w:r>
            <w:r w:rsidRPr="005D0ABA">
              <w:rPr>
                <w:rFonts w:cstheme="minorHAnsi"/>
                <w:b/>
              </w:rPr>
              <w:t>löst es das Arbeitsverhältnis</w:t>
            </w:r>
            <w:r w:rsidRPr="005D0ABA">
              <w:rPr>
                <w:rFonts w:cstheme="minorHAnsi"/>
              </w:rPr>
              <w:t xml:space="preserve"> dann </w:t>
            </w:r>
            <w:r w:rsidRPr="005D0ABA">
              <w:rPr>
                <w:rFonts w:cstheme="minorHAnsi"/>
                <w:b/>
              </w:rPr>
              <w:t xml:space="preserve">auf </w:t>
            </w:r>
            <w:r w:rsidRPr="005D0ABA">
              <w:rPr>
                <w:rFonts w:cstheme="minorHAnsi"/>
              </w:rPr>
              <w:t xml:space="preserve">und verpflichtet den Arbeitgeber zur Zahlung einer Abfindung. § 10 KSchG regelt die Höhe der </w:t>
            </w:r>
            <w:r w:rsidRPr="005D0ABA">
              <w:rPr>
                <w:rFonts w:cstheme="minorHAnsi"/>
                <w:b/>
              </w:rPr>
              <w:t>Abfindung.</w:t>
            </w:r>
          </w:p>
        </w:tc>
        <w:tc>
          <w:tcPr>
            <w:tcW w:w="1477" w:type="dxa"/>
          </w:tcPr>
          <w:p w14:paraId="1BE29A20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cstheme="minorHAnsi"/>
              </w:rPr>
            </w:pPr>
            <w:r w:rsidRPr="005D0ABA">
              <w:rPr>
                <w:rFonts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0ABA">
              <w:rPr>
                <w:rFonts w:cstheme="minorHAnsi"/>
              </w:rPr>
              <w:instrText xml:space="preserve"> FORMCHECKBOX </w:instrText>
            </w:r>
            <w:r w:rsidRPr="005D0ABA">
              <w:rPr>
                <w:rFonts w:cstheme="minorHAnsi"/>
              </w:rPr>
            </w:r>
            <w:r w:rsidRPr="005D0ABA">
              <w:rPr>
                <w:rFonts w:cstheme="minorHAnsi"/>
              </w:rPr>
              <w:fldChar w:fldCharType="separate"/>
            </w:r>
            <w:r w:rsidRPr="005D0ABA">
              <w:rPr>
                <w:rFonts w:cstheme="minorHAnsi"/>
              </w:rPr>
              <w:fldChar w:fldCharType="end"/>
            </w:r>
          </w:p>
        </w:tc>
      </w:tr>
      <w:tr w:rsidR="005D0ABA" w:rsidRPr="005D0ABA" w14:paraId="32054652" w14:textId="77777777" w:rsidTr="002B4AA9">
        <w:tc>
          <w:tcPr>
            <w:tcW w:w="7338" w:type="dxa"/>
          </w:tcPr>
          <w:p w14:paraId="239199B3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5D0ABA">
              <w:rPr>
                <w:rFonts w:cstheme="minorHAnsi"/>
                <w:b/>
              </w:rPr>
              <w:t>Verhandeln</w:t>
            </w:r>
            <w:r w:rsidRPr="005D0ABA">
              <w:rPr>
                <w:rFonts w:cstheme="minorHAnsi"/>
              </w:rPr>
              <w:t xml:space="preserve"> Sie als Betriebsrat einen </w:t>
            </w:r>
            <w:r w:rsidRPr="005D0ABA">
              <w:rPr>
                <w:rFonts w:cstheme="minorHAnsi"/>
                <w:b/>
              </w:rPr>
              <w:t>Sozialplan</w:t>
            </w:r>
            <w:r w:rsidRPr="005D0ABA">
              <w:rPr>
                <w:rFonts w:cstheme="minorHAnsi"/>
              </w:rPr>
              <w:t xml:space="preserve">, geht es regelmäßig auch um Abfindungen. Beachten Sie dabei: </w:t>
            </w:r>
          </w:p>
          <w:p w14:paraId="23C2386D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5D0ABA">
              <w:rPr>
                <w:rFonts w:cstheme="minorHAnsi"/>
              </w:rPr>
              <w:t xml:space="preserve">Die </w:t>
            </w:r>
            <w:r w:rsidRPr="005D0ABA">
              <w:rPr>
                <w:rFonts w:cstheme="minorHAnsi"/>
                <w:b/>
              </w:rPr>
              <w:t>Höhe der Abfindung</w:t>
            </w:r>
            <w:r w:rsidRPr="005D0ABA">
              <w:rPr>
                <w:rFonts w:cstheme="minorHAnsi"/>
              </w:rPr>
              <w:t xml:space="preserve"> ist hier nicht geregelt. Damit ist sie </w:t>
            </w:r>
            <w:r w:rsidRPr="005D0ABA">
              <w:rPr>
                <w:rFonts w:cstheme="minorHAnsi"/>
                <w:b/>
              </w:rPr>
              <w:t>Verhandlungssache.</w:t>
            </w:r>
            <w:r w:rsidRPr="005D0ABA">
              <w:rPr>
                <w:rFonts w:cstheme="minorHAnsi"/>
              </w:rPr>
              <w:t xml:space="preserve"> Sie hängt vom </w:t>
            </w:r>
            <w:r w:rsidRPr="005D0ABA">
              <w:rPr>
                <w:rFonts w:cstheme="minorHAnsi"/>
                <w:b/>
              </w:rPr>
              <w:t>Geschick</w:t>
            </w:r>
            <w:r w:rsidRPr="005D0ABA">
              <w:rPr>
                <w:rFonts w:cstheme="minorHAnsi"/>
              </w:rPr>
              <w:t xml:space="preserve"> der Verhandlungspartner und der </w:t>
            </w:r>
            <w:r w:rsidRPr="005D0ABA">
              <w:rPr>
                <w:rFonts w:cstheme="minorHAnsi"/>
                <w:b/>
              </w:rPr>
              <w:t>wirtschaftlichen Lage des Unternehmens</w:t>
            </w:r>
            <w:r w:rsidRPr="005D0ABA">
              <w:rPr>
                <w:rFonts w:cstheme="minorHAnsi"/>
              </w:rPr>
              <w:t xml:space="preserve"> ab.</w:t>
            </w:r>
          </w:p>
          <w:p w14:paraId="6CFB839D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5D0ABA">
              <w:rPr>
                <w:rFonts w:cstheme="minorHAnsi"/>
              </w:rPr>
              <w:t>Die gesetzlichen Regelungen zur Höhe in §§ 1a und 10 KSchG können als Anhaltspunkt dienen.</w:t>
            </w:r>
          </w:p>
          <w:p w14:paraId="07F50BF5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5D0ABA">
              <w:rPr>
                <w:rFonts w:cstheme="minorHAnsi"/>
              </w:rPr>
              <w:lastRenderedPageBreak/>
              <w:t xml:space="preserve">Unter Umständen kann es sinnvoll sein, die </w:t>
            </w:r>
            <w:r w:rsidRPr="005D0ABA">
              <w:rPr>
                <w:rFonts w:cstheme="minorHAnsi"/>
                <w:b/>
              </w:rPr>
              <w:t xml:space="preserve">Höhe der Abfindungen zugunsten beschäftigungsfördernder bzw. –sichernder Maßnahmen zu reduzieren. </w:t>
            </w:r>
            <w:r w:rsidRPr="005D0ABA">
              <w:rPr>
                <w:rFonts w:cstheme="minorHAnsi"/>
              </w:rPr>
              <w:t>Zum Beispiel kann mit dem bei den Abfindungen gesparten Geld eine Beschäftigungs- oder Transfergesellschaft gegründet werden. Ob dies sinnvoll ist, hängt vom Einzelfall ab.</w:t>
            </w:r>
          </w:p>
        </w:tc>
        <w:tc>
          <w:tcPr>
            <w:tcW w:w="1477" w:type="dxa"/>
          </w:tcPr>
          <w:p w14:paraId="5ED87B76" w14:textId="77777777" w:rsidR="005D0ABA" w:rsidRPr="005D0ABA" w:rsidRDefault="005D0ABA" w:rsidP="002B4AA9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cstheme="minorHAnsi"/>
              </w:rPr>
            </w:pPr>
            <w:r w:rsidRPr="005D0ABA">
              <w:rPr>
                <w:rFonts w:cstheme="minorHAnsi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5D0ABA">
              <w:rPr>
                <w:rFonts w:cstheme="minorHAnsi"/>
              </w:rPr>
              <w:instrText xml:space="preserve"> FORMCHECKBOX </w:instrText>
            </w:r>
            <w:bookmarkEnd w:id="0"/>
            <w:r w:rsidRPr="005D0ABA">
              <w:rPr>
                <w:rFonts w:cstheme="minorHAnsi"/>
              </w:rPr>
            </w:r>
            <w:r w:rsidRPr="005D0ABA">
              <w:rPr>
                <w:rFonts w:cstheme="minorHAnsi"/>
              </w:rPr>
              <w:fldChar w:fldCharType="separate"/>
            </w:r>
            <w:r w:rsidRPr="005D0ABA">
              <w:rPr>
                <w:rFonts w:cstheme="minorHAnsi"/>
              </w:rPr>
              <w:fldChar w:fldCharType="end"/>
            </w:r>
          </w:p>
        </w:tc>
      </w:tr>
    </w:tbl>
    <w:p w14:paraId="32162638" w14:textId="371A79F3" w:rsidR="00645C6A" w:rsidRPr="00430838" w:rsidRDefault="00645C6A" w:rsidP="005D0ABA">
      <w:pPr>
        <w:rPr>
          <w:sz w:val="24"/>
          <w:szCs w:val="24"/>
        </w:rPr>
      </w:pPr>
    </w:p>
    <w:sectPr w:rsidR="00645C6A" w:rsidRPr="00430838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0F23E" w14:textId="0D98C6D5" w:rsidR="00645C6A" w:rsidRPr="001D16A7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5D0ABA">
      <w:rPr>
        <w:sz w:val="16"/>
        <w:szCs w:val="16"/>
      </w:rPr>
      <w:t>Juni</w:t>
    </w:r>
    <w:r w:rsidR="00066D97">
      <w:rPr>
        <w:sz w:val="16"/>
        <w:szCs w:val="16"/>
      </w:rPr>
      <w:t xml:space="preserve"> 2021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507F36"/>
    <w:multiLevelType w:val="hybridMultilevel"/>
    <w:tmpl w:val="40BA8A2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EA42EA"/>
    <w:multiLevelType w:val="hybridMultilevel"/>
    <w:tmpl w:val="75084F8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66D97"/>
    <w:rsid w:val="000C1235"/>
    <w:rsid w:val="000F3088"/>
    <w:rsid w:val="0012313C"/>
    <w:rsid w:val="00154639"/>
    <w:rsid w:val="001D16A7"/>
    <w:rsid w:val="002F0F91"/>
    <w:rsid w:val="00430838"/>
    <w:rsid w:val="0043100C"/>
    <w:rsid w:val="004E4B9B"/>
    <w:rsid w:val="005B72E6"/>
    <w:rsid w:val="005C1193"/>
    <w:rsid w:val="005D0ABA"/>
    <w:rsid w:val="005E2E83"/>
    <w:rsid w:val="0062183F"/>
    <w:rsid w:val="00645C6A"/>
    <w:rsid w:val="007B14D4"/>
    <w:rsid w:val="007C20F8"/>
    <w:rsid w:val="00854679"/>
    <w:rsid w:val="008F1965"/>
    <w:rsid w:val="009D1ADA"/>
    <w:rsid w:val="00A61090"/>
    <w:rsid w:val="00AB6068"/>
    <w:rsid w:val="00B06850"/>
    <w:rsid w:val="00BE3933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562E926"/>
  <w15:docId w15:val="{C86C6695-30EC-40FA-A257-0AC7C568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Rubner, Petra</cp:lastModifiedBy>
  <cp:revision>2</cp:revision>
  <dcterms:created xsi:type="dcterms:W3CDTF">2021-06-16T12:28:00Z</dcterms:created>
  <dcterms:modified xsi:type="dcterms:W3CDTF">2021-06-16T12:28:00Z</dcterms:modified>
</cp:coreProperties>
</file>