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F719B6" w:rsidP="00730DBA">
      <w:pPr>
        <w:jc w:val="both"/>
        <w:rPr>
          <w:b/>
        </w:rPr>
      </w:pPr>
      <w:r>
        <w:rPr>
          <w:b/>
        </w:rPr>
        <w:t>Musterbetriebsvereinbarung Jahresarbeitszeitkonto</w:t>
      </w:r>
      <w:bookmarkStart w:id="0" w:name="_GoBack"/>
      <w:bookmarkEnd w:id="0"/>
    </w:p>
    <w:p w:rsidR="00730DBA" w:rsidRPr="008757A7" w:rsidRDefault="00730DBA" w:rsidP="00730DBA">
      <w:pPr>
        <w:jc w:val="both"/>
        <w:rPr>
          <w:b/>
        </w:rPr>
      </w:pP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Zwischen der Geschäftsleitung und dem Betriebsrat der Firma ... wird folgende Betriebsvereinbarung über die Einführung eines Jahresarbeitszeitkontos geschlossen:</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1 Grundsatz/Zweck</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Mit der Einführung eines Ampelarbeitszeitkontos soll die Zeitsouveränität der Mitarbeiterinnen und Mitarbeiter erhöht werden und die saisonal unterschiedliche Auslastung des Betriebs berücksichtigt werden.</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2 Geltungsbereich</w:t>
      </w:r>
    </w:p>
    <w:tbl>
      <w:tblPr>
        <w:tblW w:w="0" w:type="auto"/>
        <w:tblCellMar>
          <w:top w:w="15" w:type="dxa"/>
          <w:left w:w="15" w:type="dxa"/>
          <w:bottom w:w="15" w:type="dxa"/>
          <w:right w:w="15" w:type="dxa"/>
        </w:tblCellMar>
        <w:tblLook w:val="04A0" w:firstRow="1" w:lastRow="0" w:firstColumn="1" w:lastColumn="0" w:noHBand="0" w:noVBand="1"/>
      </w:tblPr>
      <w:tblGrid>
        <w:gridCol w:w="130"/>
        <w:gridCol w:w="9017"/>
      </w:tblGrid>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(1)  Die Betriebsvereinbarung gilt für alle Mitarbeiterinnen und Mitarbeiter ausschließlich der Teilzeitkräfte in den Bereichen Produktion, Verwaltung und Vertrieb.</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xml:space="preserve">(2)  Die Betriebsvereinbarung findet keine Anwendung auf leitende Angestellte </w:t>
            </w:r>
            <w:proofErr w:type="spellStart"/>
            <w:r w:rsidRPr="006C6587">
              <w:rPr>
                <w:rFonts w:ascii="Times New Roman" w:hAnsi="Times New Roman"/>
              </w:rPr>
              <w:t>i.S.d</w:t>
            </w:r>
            <w:proofErr w:type="spellEnd"/>
            <w:r w:rsidRPr="006C6587">
              <w:rPr>
                <w:rFonts w:ascii="Times New Roman" w:hAnsi="Times New Roman"/>
              </w:rPr>
              <w:t>. </w:t>
            </w:r>
            <w:hyperlink r:id="rId8" w:anchor="link?productid=PI26425&amp;docid=HI3150066&amp;anchor=SUB_HI3150066_absatz_3" w:tgtFrame="_self" w:history="1">
              <w:r w:rsidRPr="006C6587">
                <w:rPr>
                  <w:rFonts w:ascii="Times New Roman" w:hAnsi="Times New Roman"/>
                  <w:color w:val="007BC4"/>
                </w:rPr>
                <w:t>§ 5 Abs. 3 Betriebsverfassungsgesetz (BetrVG</w:t>
              </w:r>
            </w:hyperlink>
            <w:r w:rsidRPr="006C6587">
              <w:rPr>
                <w:rFonts w:ascii="Times New Roman" w:hAnsi="Times New Roman"/>
              </w:rPr>
              <w:t>), auf Auszubildende unter 18 Jahren sowie auf Mitarbeiter im Außendienst.</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(3)  Ergänzend gelten die gesetzlichen und tarifvertraglichen Regelungen.</w:t>
            </w:r>
          </w:p>
        </w:tc>
      </w:tr>
    </w:tbl>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3 Arbeitszeit</w:t>
      </w:r>
    </w:p>
    <w:tbl>
      <w:tblPr>
        <w:tblW w:w="0" w:type="auto"/>
        <w:tblCellMar>
          <w:top w:w="15" w:type="dxa"/>
          <w:left w:w="15" w:type="dxa"/>
          <w:bottom w:w="15" w:type="dxa"/>
          <w:right w:w="15" w:type="dxa"/>
        </w:tblCellMar>
        <w:tblLook w:val="04A0" w:firstRow="1" w:lastRow="0" w:firstColumn="1" w:lastColumn="0" w:noHBand="0" w:noVBand="1"/>
      </w:tblPr>
      <w:tblGrid>
        <w:gridCol w:w="130"/>
        <w:gridCol w:w="9017"/>
      </w:tblGrid>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(1)  Die tarifvertraglich festgelegte wöchentliche Arbeitszeit beträgt 35 Stunden.</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(2)  Arbeitstage sind die Tage von Montag bis Freitag.</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(3) Die regelmäßige tägliche Arbeitszeit beginnt morgens um 8:00 Uhr und endet nachmi</w:t>
            </w:r>
            <w:r w:rsidRPr="006C6587">
              <w:rPr>
                <w:rFonts w:ascii="Times New Roman" w:hAnsi="Times New Roman"/>
              </w:rPr>
              <w:t>t</w:t>
            </w:r>
            <w:r w:rsidRPr="006C6587">
              <w:rPr>
                <w:rFonts w:ascii="Times New Roman" w:hAnsi="Times New Roman"/>
              </w:rPr>
              <w:t>tags um 16:00 Uhr. In der Verwaltung und im Vertrieb wird in einer Gleitzeit zwischen 7:30 Uhr und 18:00 Uhr gearbeitet, mit einer Kernarbeitszeit (Anwesenheitspflicht) zwischen 9:00 Uhr und 15:00 Uhr.</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(4)  Die tägliche Arbeitszeit soll sieben Stunden ausschließlich der Pausen nicht überschre</w:t>
            </w:r>
            <w:r w:rsidRPr="006C6587">
              <w:rPr>
                <w:rFonts w:ascii="Times New Roman" w:hAnsi="Times New Roman"/>
              </w:rPr>
              <w:t>i</w:t>
            </w:r>
            <w:r w:rsidRPr="006C6587">
              <w:rPr>
                <w:rFonts w:ascii="Times New Roman" w:hAnsi="Times New Roman"/>
              </w:rPr>
              <w:t>ten.</w:t>
            </w:r>
          </w:p>
        </w:tc>
      </w:tr>
    </w:tbl>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4 Mehrarbeit</w:t>
      </w:r>
    </w:p>
    <w:tbl>
      <w:tblPr>
        <w:tblW w:w="0" w:type="auto"/>
        <w:tblCellMar>
          <w:top w:w="15" w:type="dxa"/>
          <w:left w:w="15" w:type="dxa"/>
          <w:bottom w:w="15" w:type="dxa"/>
          <w:right w:w="15" w:type="dxa"/>
        </w:tblCellMar>
        <w:tblLook w:val="04A0" w:firstRow="1" w:lastRow="0" w:firstColumn="1" w:lastColumn="0" w:noHBand="0" w:noVBand="1"/>
      </w:tblPr>
      <w:tblGrid>
        <w:gridCol w:w="130"/>
        <w:gridCol w:w="9017"/>
      </w:tblGrid>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(1)  Mehrarbeit ist die Arbeitszeit oberhalb der nach § 3 geregelten Arbeitszeit.</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(2)  Mehrarbeit ist entsprechend den gesetzlichen und tariflichen Bestimmungen zwischen Geschäftsleitung und Betriebsrat nach </w:t>
            </w:r>
            <w:hyperlink r:id="rId9" w:anchor="link?productid=PI26425&amp;docid=HI3150172&amp;anchor=SUB_HI3150172_absatz_1_nummer_3" w:tgtFrame="_self" w:history="1">
              <w:r w:rsidRPr="006C6587">
                <w:rPr>
                  <w:rFonts w:ascii="Times New Roman" w:hAnsi="Times New Roman"/>
                  <w:color w:val="007BC4"/>
                </w:rPr>
                <w:t>§ 87 Abs. 1 Nr. 3 BetrVG</w:t>
              </w:r>
            </w:hyperlink>
            <w:r w:rsidRPr="006C6587">
              <w:rPr>
                <w:rFonts w:ascii="Times New Roman" w:hAnsi="Times New Roman"/>
              </w:rPr>
              <w:t> zu vereinbaren.</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lastRenderedPageBreak/>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(3)  Mehrarbeitsstunden können einschließlich der tariflichen Mehrarbeitszuschläge in Form von Zeit dem Ampelarbeitszeitkonto gutgeschrieben werden.</w:t>
            </w:r>
          </w:p>
          <w:p w:rsidR="00F719B6" w:rsidRPr="006C6587" w:rsidRDefault="00F719B6" w:rsidP="008B0795">
            <w:pPr>
              <w:rPr>
                <w:rFonts w:ascii="Times New Roman" w:hAnsi="Times New Roman"/>
              </w:rPr>
            </w:pPr>
            <w:r w:rsidRPr="006C6587">
              <w:rPr>
                <w:rFonts w:ascii="Times New Roman" w:hAnsi="Times New Roman"/>
                <w:b/>
                <w:bCs/>
              </w:rPr>
              <w:t>Alternativ: </w:t>
            </w:r>
            <w:r w:rsidRPr="006C6587">
              <w:rPr>
                <w:rFonts w:ascii="Times New Roman" w:hAnsi="Times New Roman"/>
              </w:rPr>
              <w:t>Mehrarbeitsstunden können in Form von Zeit dem Ampelarbeitszeitkonto gutgeschrieben werden; etwaige tarifliche Mehrarbeitszuschläge sind monatlich auszuza</w:t>
            </w:r>
            <w:r w:rsidRPr="006C6587">
              <w:rPr>
                <w:rFonts w:ascii="Times New Roman" w:hAnsi="Times New Roman"/>
              </w:rPr>
              <w:t>h</w:t>
            </w:r>
            <w:r w:rsidRPr="006C6587">
              <w:rPr>
                <w:rFonts w:ascii="Times New Roman" w:hAnsi="Times New Roman"/>
              </w:rPr>
              <w:t>len.</w:t>
            </w:r>
          </w:p>
          <w:p w:rsidR="00F719B6" w:rsidRPr="006C6587" w:rsidRDefault="00F719B6" w:rsidP="008B0795">
            <w:pPr>
              <w:rPr>
                <w:rFonts w:ascii="Times New Roman" w:hAnsi="Times New Roman"/>
              </w:rPr>
            </w:pPr>
            <w:r w:rsidRPr="006C6587">
              <w:rPr>
                <w:rFonts w:ascii="Times New Roman" w:hAnsi="Times New Roman"/>
              </w:rPr>
              <w:t>Das Nähere regelt der folgende § 5.</w:t>
            </w:r>
          </w:p>
        </w:tc>
      </w:tr>
    </w:tbl>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5 Ampelarbeitszeitkonto</w:t>
      </w:r>
    </w:p>
    <w:tbl>
      <w:tblPr>
        <w:tblW w:w="0" w:type="auto"/>
        <w:tblCellMar>
          <w:top w:w="15" w:type="dxa"/>
          <w:left w:w="15" w:type="dxa"/>
          <w:bottom w:w="15" w:type="dxa"/>
          <w:right w:w="15" w:type="dxa"/>
        </w:tblCellMar>
        <w:tblLook w:val="04A0" w:firstRow="1" w:lastRow="0" w:firstColumn="1" w:lastColumn="0" w:noHBand="0" w:noVBand="1"/>
      </w:tblPr>
      <w:tblGrid>
        <w:gridCol w:w="130"/>
        <w:gridCol w:w="9017"/>
      </w:tblGrid>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(1)  Das Ampelarbeitszeitkonto wird für jeden in den Geltungsbereich dieser Betriebsverei</w:t>
            </w:r>
            <w:r w:rsidRPr="006C6587">
              <w:rPr>
                <w:rFonts w:ascii="Times New Roman" w:hAnsi="Times New Roman"/>
              </w:rPr>
              <w:t>n</w:t>
            </w:r>
            <w:r w:rsidRPr="006C6587">
              <w:rPr>
                <w:rFonts w:ascii="Times New Roman" w:hAnsi="Times New Roman"/>
              </w:rPr>
              <w:t>barung fallenden Arbeitnehmer als reines Guthabenkonto geführt; Zeitschulden des Arbei</w:t>
            </w:r>
            <w:r w:rsidRPr="006C6587">
              <w:rPr>
                <w:rFonts w:ascii="Times New Roman" w:hAnsi="Times New Roman"/>
              </w:rPr>
              <w:t>t</w:t>
            </w:r>
            <w:r w:rsidRPr="006C6587">
              <w:rPr>
                <w:rFonts w:ascii="Times New Roman" w:hAnsi="Times New Roman"/>
              </w:rPr>
              <w:t>nehmers (Minusstunden) sind nicht zulässig.</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(2)  Wenn das Arbeitszeitguthaben die nachfolgenden Schwellenwerte erreicht, gilt:</w:t>
            </w:r>
          </w:p>
          <w:p w:rsidR="00F719B6" w:rsidRPr="006C6587" w:rsidRDefault="00F719B6" w:rsidP="008B0795">
            <w:pPr>
              <w:rPr>
                <w:rFonts w:ascii="Times New Roman" w:hAnsi="Times New Roman"/>
              </w:rPr>
            </w:pPr>
            <w:bookmarkStart w:id="1" w:name="LI5921235"/>
            <w:r w:rsidRPr="006C6587">
              <w:rPr>
                <w:rFonts w:ascii="Times New Roman" w:hAnsi="Times New Roman"/>
                <w:color w:val="007BC4"/>
                <w:sz w:val="2"/>
                <w:szCs w:val="2"/>
              </w:rPr>
              <w:t> </w:t>
            </w:r>
            <w:bookmarkEnd w:id="1"/>
          </w:p>
          <w:tbl>
            <w:tblPr>
              <w:tblW w:w="0" w:type="auto"/>
              <w:tblBorders>
                <w:top w:val="single" w:sz="6" w:space="0" w:color="E4E4E4"/>
                <w:left w:val="single" w:sz="6" w:space="0" w:color="E4E4E4"/>
                <w:bottom w:val="single" w:sz="6" w:space="0" w:color="E4E4E4"/>
                <w:right w:val="single" w:sz="6" w:space="0" w:color="E4E4E4"/>
              </w:tblBorders>
              <w:tblCellMar>
                <w:top w:w="15" w:type="dxa"/>
                <w:left w:w="15" w:type="dxa"/>
                <w:bottom w:w="15" w:type="dxa"/>
                <w:right w:w="15" w:type="dxa"/>
              </w:tblCellMar>
              <w:tblLook w:val="04A0" w:firstRow="1" w:lastRow="0" w:firstColumn="1" w:lastColumn="0" w:noHBand="0" w:noVBand="1"/>
            </w:tblPr>
            <w:tblGrid>
              <w:gridCol w:w="948"/>
              <w:gridCol w:w="1854"/>
              <w:gridCol w:w="6124"/>
            </w:tblGrid>
            <w:tr w:rsidR="00F719B6" w:rsidRPr="006C6587" w:rsidTr="008B0795">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”Grün“</w:t>
                  </w:r>
                </w:p>
              </w:tc>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bis zu 50 Stu</w:t>
                  </w:r>
                  <w:r w:rsidRPr="006C6587">
                    <w:rPr>
                      <w:rFonts w:ascii="Times New Roman" w:hAnsi="Times New Roman"/>
                    </w:rPr>
                    <w:t>n</w:t>
                  </w:r>
                  <w:r w:rsidRPr="006C6587">
                    <w:rPr>
                      <w:rFonts w:ascii="Times New Roman" w:hAnsi="Times New Roman"/>
                    </w:rPr>
                    <w:t>den (Zeitguth</w:t>
                  </w:r>
                  <w:r w:rsidRPr="006C6587">
                    <w:rPr>
                      <w:rFonts w:ascii="Times New Roman" w:hAnsi="Times New Roman"/>
                    </w:rPr>
                    <w:t>a</w:t>
                  </w:r>
                  <w:r w:rsidRPr="006C6587">
                    <w:rPr>
                      <w:rFonts w:ascii="Times New Roman" w:hAnsi="Times New Roman"/>
                    </w:rPr>
                    <w:t>ben)</w:t>
                  </w:r>
                </w:p>
              </w:tc>
              <w:tc>
                <w:tcPr>
                  <w:tcW w:w="0" w:type="auto"/>
                  <w:tcBorders>
                    <w:bottom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Keine Rechtsfolge. Der Arbeitnehmer kann nach Maßgabe des folgenden Paragrafen Freizeitausgleich verlangen bzw. die Arbeitgeberin ihm gewähren.</w:t>
                  </w:r>
                </w:p>
              </w:tc>
            </w:tr>
            <w:tr w:rsidR="00F719B6" w:rsidRPr="006C6587" w:rsidTr="008B0795">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”Gelb“</w:t>
                  </w:r>
                </w:p>
              </w:tc>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mehr als 50 Stunden, bis zu 80 Stunden</w:t>
                  </w:r>
                </w:p>
              </w:tc>
              <w:tc>
                <w:tcPr>
                  <w:tcW w:w="0" w:type="auto"/>
                  <w:tcBorders>
                    <w:bottom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Arbeitgeber, der (die) betroffene Arbeitnehmer (in) und der Betriebsrat wirken darauf hin, dass durch Freizeitau</w:t>
                  </w:r>
                  <w:r w:rsidRPr="006C6587">
                    <w:rPr>
                      <w:rFonts w:ascii="Times New Roman" w:hAnsi="Times New Roman"/>
                    </w:rPr>
                    <w:t>s</w:t>
                  </w:r>
                  <w:r w:rsidRPr="006C6587">
                    <w:rPr>
                      <w:rFonts w:ascii="Times New Roman" w:hAnsi="Times New Roman"/>
                    </w:rPr>
                    <w:t xml:space="preserve">gleichsgewährung das Arbeitszeitguthaben wieder schnellstmöglich in </w:t>
                  </w:r>
                  <w:proofErr w:type="gramStart"/>
                  <w:r w:rsidRPr="006C6587">
                    <w:rPr>
                      <w:rFonts w:ascii="Times New Roman" w:hAnsi="Times New Roman"/>
                    </w:rPr>
                    <w:t>den ”</w:t>
                  </w:r>
                  <w:proofErr w:type="gramEnd"/>
                  <w:r w:rsidRPr="006C6587">
                    <w:rPr>
                      <w:rFonts w:ascii="Times New Roman" w:hAnsi="Times New Roman"/>
                    </w:rPr>
                    <w:t>grünen“ Bereich zurückgeführt wird. Mehrarbeit und Überstunden sind für solche Arbei</w:t>
                  </w:r>
                  <w:r w:rsidRPr="006C6587">
                    <w:rPr>
                      <w:rFonts w:ascii="Times New Roman" w:hAnsi="Times New Roman"/>
                    </w:rPr>
                    <w:t>t</w:t>
                  </w:r>
                  <w:r w:rsidRPr="006C6587">
                    <w:rPr>
                      <w:rFonts w:ascii="Times New Roman" w:hAnsi="Times New Roman"/>
                    </w:rPr>
                    <w:t>nehmer nur noch aus dringenden betrieblichen Gründen anzuordnen oder entgegenzunehmen.</w:t>
                  </w:r>
                </w:p>
              </w:tc>
            </w:tr>
            <w:tr w:rsidR="00F719B6" w:rsidRPr="006C6587" w:rsidTr="008B0795">
              <w:tc>
                <w:tcPr>
                  <w:tcW w:w="0" w:type="auto"/>
                  <w:tcBorders>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”Rot“</w:t>
                  </w:r>
                </w:p>
              </w:tc>
              <w:tc>
                <w:tcPr>
                  <w:tcW w:w="0" w:type="auto"/>
                  <w:tcBorders>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mehr als 80 Stunden</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Das Arbeitszeitguthaben ist durch Freizeitausgleichsg</w:t>
                  </w:r>
                  <w:r w:rsidRPr="006C6587">
                    <w:rPr>
                      <w:rFonts w:ascii="Times New Roman" w:hAnsi="Times New Roman"/>
                    </w:rPr>
                    <w:t>e</w:t>
                  </w:r>
                  <w:r w:rsidRPr="006C6587">
                    <w:rPr>
                      <w:rFonts w:ascii="Times New Roman" w:hAnsi="Times New Roman"/>
                    </w:rPr>
                    <w:t xml:space="preserve">währung innerhalb von vier Wochen nach Überschreiten der Schwelle </w:t>
                  </w:r>
                  <w:proofErr w:type="gramStart"/>
                  <w:r w:rsidRPr="006C6587">
                    <w:rPr>
                      <w:rFonts w:ascii="Times New Roman" w:hAnsi="Times New Roman"/>
                    </w:rPr>
                    <w:t>zum ”</w:t>
                  </w:r>
                  <w:proofErr w:type="gramEnd"/>
                  <w:r w:rsidRPr="006C6587">
                    <w:rPr>
                      <w:rFonts w:ascii="Times New Roman" w:hAnsi="Times New Roman"/>
                    </w:rPr>
                    <w:t xml:space="preserve">roten“ Bereich bis auf ein maximales Restguthaben von zehn Stunden abzubauen. Für den (die) betroffene(n) Arbeitnehmer(in) </w:t>
                  </w:r>
                  <w:proofErr w:type="gramStart"/>
                  <w:r w:rsidRPr="006C6587">
                    <w:rPr>
                      <w:rFonts w:ascii="Times New Roman" w:hAnsi="Times New Roman"/>
                    </w:rPr>
                    <w:t>sind</w:t>
                  </w:r>
                  <w:proofErr w:type="gramEnd"/>
                  <w:r w:rsidRPr="006C6587">
                    <w:rPr>
                      <w:rFonts w:ascii="Times New Roman" w:hAnsi="Times New Roman"/>
                    </w:rPr>
                    <w:t xml:space="preserve"> keine Überstu</w:t>
                  </w:r>
                  <w:r w:rsidRPr="006C6587">
                    <w:rPr>
                      <w:rFonts w:ascii="Times New Roman" w:hAnsi="Times New Roman"/>
                    </w:rPr>
                    <w:t>n</w:t>
                  </w:r>
                  <w:r w:rsidRPr="006C6587">
                    <w:rPr>
                      <w:rFonts w:ascii="Times New Roman" w:hAnsi="Times New Roman"/>
                    </w:rPr>
                    <w:t>den/Mehrarbeit mehr zulässig, bis der Abbau des Zeitgu</w:t>
                  </w:r>
                  <w:r w:rsidRPr="006C6587">
                    <w:rPr>
                      <w:rFonts w:ascii="Times New Roman" w:hAnsi="Times New Roman"/>
                    </w:rPr>
                    <w:t>t</w:t>
                  </w:r>
                  <w:r w:rsidRPr="006C6587">
                    <w:rPr>
                      <w:rFonts w:ascii="Times New Roman" w:hAnsi="Times New Roman"/>
                    </w:rPr>
                    <w:t>habens abgeschlossen ist. Überschreitet ein(e) Arbeitne</w:t>
                  </w:r>
                  <w:r w:rsidRPr="006C6587">
                    <w:rPr>
                      <w:rFonts w:ascii="Times New Roman" w:hAnsi="Times New Roman"/>
                    </w:rPr>
                    <w:t>h</w:t>
                  </w:r>
                  <w:r w:rsidRPr="006C6587">
                    <w:rPr>
                      <w:rFonts w:ascii="Times New Roman" w:hAnsi="Times New Roman"/>
                    </w:rPr>
                    <w:t>mer(in) die Schwelle zum ”roten“ Bereich innerhalb eines Kalenderjahrs mehr als zweimal, so gilt, dass der ”rote“ Bereich bis zum Ende des laufenden Kalenderjahrs für diese(n) Mitarbeiter(in) bereits bei Überschreitung der zwanzigsten Stunde (Arbeitszeitguthaben) beginnt, mit der Folge, dass das gesamte vorhandene Arbeitszeitguth</w:t>
                  </w:r>
                  <w:r w:rsidRPr="006C6587">
                    <w:rPr>
                      <w:rFonts w:ascii="Times New Roman" w:hAnsi="Times New Roman"/>
                    </w:rPr>
                    <w:t>a</w:t>
                  </w:r>
                  <w:r w:rsidRPr="006C6587">
                    <w:rPr>
                      <w:rFonts w:ascii="Times New Roman" w:hAnsi="Times New Roman"/>
                    </w:rPr>
                    <w:t xml:space="preserve">ben innerhalb von vier </w:t>
                  </w:r>
                  <w:r w:rsidRPr="006C6587">
                    <w:rPr>
                      <w:rFonts w:ascii="Times New Roman" w:hAnsi="Times New Roman"/>
                    </w:rPr>
                    <w:lastRenderedPageBreak/>
                    <w:t>Wochen ab Überschreitung dieser Grenze abzubauen ist, bevor neues Guthaben gutgeschri</w:t>
                  </w:r>
                  <w:r w:rsidRPr="006C6587">
                    <w:rPr>
                      <w:rFonts w:ascii="Times New Roman" w:hAnsi="Times New Roman"/>
                    </w:rPr>
                    <w:t>e</w:t>
                  </w:r>
                  <w:r w:rsidRPr="006C6587">
                    <w:rPr>
                      <w:rFonts w:ascii="Times New Roman" w:hAnsi="Times New Roman"/>
                    </w:rPr>
                    <w:t>ben werden kann.</w:t>
                  </w:r>
                </w:p>
              </w:tc>
            </w:tr>
          </w:tbl>
          <w:p w:rsidR="00F719B6" w:rsidRPr="006C6587" w:rsidRDefault="00F719B6" w:rsidP="008B0795">
            <w:pPr>
              <w:rPr>
                <w:rFonts w:ascii="Times New Roman" w:hAnsi="Times New Roman"/>
              </w:rPr>
            </w:pPr>
          </w:p>
        </w:tc>
      </w:tr>
    </w:tbl>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lastRenderedPageBreak/>
        <w:t>Alternativ:</w:t>
      </w:r>
    </w:p>
    <w:tbl>
      <w:tblPr>
        <w:tblW w:w="0" w:type="auto"/>
        <w:tblCellMar>
          <w:top w:w="15" w:type="dxa"/>
          <w:left w:w="15" w:type="dxa"/>
          <w:bottom w:w="15" w:type="dxa"/>
          <w:right w:w="15" w:type="dxa"/>
        </w:tblCellMar>
        <w:tblLook w:val="04A0" w:firstRow="1" w:lastRow="0" w:firstColumn="1" w:lastColumn="0" w:noHBand="0" w:noVBand="1"/>
      </w:tblPr>
      <w:tblGrid>
        <w:gridCol w:w="130"/>
        <w:gridCol w:w="9017"/>
      </w:tblGrid>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(1) Das Ampelarbeitszeitkonto wird für jeden in den Geltungsbereich dieser Betriebsverei</w:t>
            </w:r>
            <w:r w:rsidRPr="006C6587">
              <w:rPr>
                <w:rFonts w:ascii="Times New Roman" w:hAnsi="Times New Roman"/>
              </w:rPr>
              <w:t>n</w:t>
            </w:r>
            <w:r w:rsidRPr="006C6587">
              <w:rPr>
                <w:rFonts w:ascii="Times New Roman" w:hAnsi="Times New Roman"/>
              </w:rPr>
              <w:t>barung fallenden Arbeitnehmer als Zeitkonto geführt; Zeitschulden des Arbeitnehmers (Minusstunden) sind in den von dieser Betriebsvereinbarung zugelassenen Grenzen zulässig.</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(2) Wenn das Arbeitszeitguthaben (Mehrarbeit/Überstunden) die nachfolgenden Schwelle</w:t>
            </w:r>
            <w:r w:rsidRPr="006C6587">
              <w:rPr>
                <w:rFonts w:ascii="Times New Roman" w:hAnsi="Times New Roman"/>
              </w:rPr>
              <w:t>n</w:t>
            </w:r>
            <w:r w:rsidRPr="006C6587">
              <w:rPr>
                <w:rFonts w:ascii="Times New Roman" w:hAnsi="Times New Roman"/>
              </w:rPr>
              <w:t>werte erreicht, gilt:</w:t>
            </w:r>
          </w:p>
          <w:p w:rsidR="00F719B6" w:rsidRPr="006C6587" w:rsidRDefault="00F719B6" w:rsidP="008B0795">
            <w:pPr>
              <w:rPr>
                <w:rFonts w:ascii="Times New Roman" w:hAnsi="Times New Roman"/>
              </w:rPr>
            </w:pPr>
            <w:bookmarkStart w:id="2" w:name="LI5921236"/>
            <w:r w:rsidRPr="006C6587">
              <w:rPr>
                <w:rFonts w:ascii="Times New Roman" w:hAnsi="Times New Roman"/>
                <w:color w:val="007BC4"/>
                <w:sz w:val="2"/>
                <w:szCs w:val="2"/>
              </w:rPr>
              <w:t> </w:t>
            </w:r>
            <w:bookmarkEnd w:id="2"/>
          </w:p>
          <w:tbl>
            <w:tblPr>
              <w:tblW w:w="0" w:type="auto"/>
              <w:tblCellMar>
                <w:top w:w="15" w:type="dxa"/>
                <w:left w:w="15" w:type="dxa"/>
                <w:bottom w:w="15" w:type="dxa"/>
                <w:right w:w="15" w:type="dxa"/>
              </w:tblCellMar>
              <w:tblLook w:val="04A0" w:firstRow="1" w:lastRow="0" w:firstColumn="1" w:lastColumn="0" w:noHBand="0" w:noVBand="1"/>
            </w:tblPr>
            <w:tblGrid>
              <w:gridCol w:w="948"/>
              <w:gridCol w:w="1855"/>
              <w:gridCol w:w="6139"/>
            </w:tblGrid>
            <w:tr w:rsidR="00F719B6" w:rsidRPr="006C6587" w:rsidTr="008B0795">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”Grün“</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bis zu 50 Stu</w:t>
                  </w:r>
                  <w:r w:rsidRPr="006C6587">
                    <w:rPr>
                      <w:rFonts w:ascii="Times New Roman" w:hAnsi="Times New Roman"/>
                    </w:rPr>
                    <w:t>n</w:t>
                  </w:r>
                  <w:r w:rsidRPr="006C6587">
                    <w:rPr>
                      <w:rFonts w:ascii="Times New Roman" w:hAnsi="Times New Roman"/>
                    </w:rPr>
                    <w:t>den (Zeitguth</w:t>
                  </w:r>
                  <w:r w:rsidRPr="006C6587">
                    <w:rPr>
                      <w:rFonts w:ascii="Times New Roman" w:hAnsi="Times New Roman"/>
                    </w:rPr>
                    <w:t>a</w:t>
                  </w:r>
                  <w:r w:rsidRPr="006C6587">
                    <w:rPr>
                      <w:rFonts w:ascii="Times New Roman" w:hAnsi="Times New Roman"/>
                    </w:rPr>
                    <w:t>ben)</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Keine Rechtsfolge. Der Arbeitnehmer kann nach Maßgabe des folgenden Paragrafen Freizeitausgleich verlangen bzw. die Arbeitgeberin ihm gewähren.</w:t>
                  </w:r>
                </w:p>
              </w:tc>
            </w:tr>
            <w:tr w:rsidR="00F719B6" w:rsidRPr="006C6587" w:rsidTr="008B0795">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”Gelb“</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mehr als 50 Stunden, bis zu 80 Stunden</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Arbeitgeber, der (die) betroffene Arbeitnehmer(in) und der Betriebsrat wirken darauf hin, dass durch Freizeitau</w:t>
                  </w:r>
                  <w:r w:rsidRPr="006C6587">
                    <w:rPr>
                      <w:rFonts w:ascii="Times New Roman" w:hAnsi="Times New Roman"/>
                    </w:rPr>
                    <w:t>s</w:t>
                  </w:r>
                  <w:r w:rsidRPr="006C6587">
                    <w:rPr>
                      <w:rFonts w:ascii="Times New Roman" w:hAnsi="Times New Roman"/>
                    </w:rPr>
                    <w:t xml:space="preserve">gleichsgewährung das Arbeitszeitguthaben wieder schnellstmöglich in </w:t>
                  </w:r>
                  <w:proofErr w:type="gramStart"/>
                  <w:r w:rsidRPr="006C6587">
                    <w:rPr>
                      <w:rFonts w:ascii="Times New Roman" w:hAnsi="Times New Roman"/>
                    </w:rPr>
                    <w:t>den ”</w:t>
                  </w:r>
                  <w:proofErr w:type="gramEnd"/>
                  <w:r w:rsidRPr="006C6587">
                    <w:rPr>
                      <w:rFonts w:ascii="Times New Roman" w:hAnsi="Times New Roman"/>
                    </w:rPr>
                    <w:t>grünen“ Bereich zurückgeführt wird. Mehrarbeit und Überstunden sind für solche Arbei</w:t>
                  </w:r>
                  <w:r w:rsidRPr="006C6587">
                    <w:rPr>
                      <w:rFonts w:ascii="Times New Roman" w:hAnsi="Times New Roman"/>
                    </w:rPr>
                    <w:t>t</w:t>
                  </w:r>
                  <w:r w:rsidRPr="006C6587">
                    <w:rPr>
                      <w:rFonts w:ascii="Times New Roman" w:hAnsi="Times New Roman"/>
                    </w:rPr>
                    <w:t>nehmer nur noch aus dringenden betrieblichen Gründen anzuordnen oder entgegenzunehmen.</w:t>
                  </w:r>
                </w:p>
              </w:tc>
            </w:tr>
            <w:tr w:rsidR="00F719B6" w:rsidRPr="006C6587" w:rsidTr="008B0795">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”Rot“</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mehr als 80 Stunden</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Das Arbeitszeitguthaben ist durch Freizeitausgleichsg</w:t>
                  </w:r>
                  <w:r w:rsidRPr="006C6587">
                    <w:rPr>
                      <w:rFonts w:ascii="Times New Roman" w:hAnsi="Times New Roman"/>
                    </w:rPr>
                    <w:t>e</w:t>
                  </w:r>
                  <w:r w:rsidRPr="006C6587">
                    <w:rPr>
                      <w:rFonts w:ascii="Times New Roman" w:hAnsi="Times New Roman"/>
                    </w:rPr>
                    <w:t xml:space="preserve">währung innerhalb von vier Wochen nach Überschreiten der Schwelle </w:t>
                  </w:r>
                  <w:proofErr w:type="gramStart"/>
                  <w:r w:rsidRPr="006C6587">
                    <w:rPr>
                      <w:rFonts w:ascii="Times New Roman" w:hAnsi="Times New Roman"/>
                    </w:rPr>
                    <w:t>zum ”</w:t>
                  </w:r>
                  <w:proofErr w:type="gramEnd"/>
                  <w:r w:rsidRPr="006C6587">
                    <w:rPr>
                      <w:rFonts w:ascii="Times New Roman" w:hAnsi="Times New Roman"/>
                    </w:rPr>
                    <w:t xml:space="preserve">roten“ Bereich bis auf ein maximales Restguthaben von zehn Stunden abzubauen. Für den (die) betroffene(n) Arbeitnehmer(in) </w:t>
                  </w:r>
                  <w:proofErr w:type="gramStart"/>
                  <w:r w:rsidRPr="006C6587">
                    <w:rPr>
                      <w:rFonts w:ascii="Times New Roman" w:hAnsi="Times New Roman"/>
                    </w:rPr>
                    <w:t>sind</w:t>
                  </w:r>
                  <w:proofErr w:type="gramEnd"/>
                  <w:r w:rsidRPr="006C6587">
                    <w:rPr>
                      <w:rFonts w:ascii="Times New Roman" w:hAnsi="Times New Roman"/>
                    </w:rPr>
                    <w:t xml:space="preserve"> keine Überstu</w:t>
                  </w:r>
                  <w:r w:rsidRPr="006C6587">
                    <w:rPr>
                      <w:rFonts w:ascii="Times New Roman" w:hAnsi="Times New Roman"/>
                    </w:rPr>
                    <w:t>n</w:t>
                  </w:r>
                  <w:r w:rsidRPr="006C6587">
                    <w:rPr>
                      <w:rFonts w:ascii="Times New Roman" w:hAnsi="Times New Roman"/>
                    </w:rPr>
                    <w:t>den/Mehrarbeit mehr zulässig, bis der Abbau des Zeitgu</w:t>
                  </w:r>
                  <w:r w:rsidRPr="006C6587">
                    <w:rPr>
                      <w:rFonts w:ascii="Times New Roman" w:hAnsi="Times New Roman"/>
                    </w:rPr>
                    <w:t>t</w:t>
                  </w:r>
                  <w:r w:rsidRPr="006C6587">
                    <w:rPr>
                      <w:rFonts w:ascii="Times New Roman" w:hAnsi="Times New Roman"/>
                    </w:rPr>
                    <w:t>habens abgeschlossen ist. Überschreitet ein(e) Arbeitne</w:t>
                  </w:r>
                  <w:r w:rsidRPr="006C6587">
                    <w:rPr>
                      <w:rFonts w:ascii="Times New Roman" w:hAnsi="Times New Roman"/>
                    </w:rPr>
                    <w:t>h</w:t>
                  </w:r>
                  <w:r w:rsidRPr="006C6587">
                    <w:rPr>
                      <w:rFonts w:ascii="Times New Roman" w:hAnsi="Times New Roman"/>
                    </w:rPr>
                    <w:t>mer(in) die Schwelle zum ”roten“ Bereich innerhalb eines Kalenderjahrs mehr als zweimal, so gilt, dass der ”rote“ Bereich bis zum Ende des laufenden Kalenderjahrs für diese(n) Mitarbeiter(in) bereits bei Überschreitung der zwanzigsten Stunde (Arbeitszeitguthaben) beginnt, mit der Folge, dass das gesamte vorhandene Arbeitszeitguthaben innerhalb von vier Wochen ab Überschreitung dieser Grenze abzubauen ist, bevor neues Guthaben gutgeschri</w:t>
                  </w:r>
                  <w:r w:rsidRPr="006C6587">
                    <w:rPr>
                      <w:rFonts w:ascii="Times New Roman" w:hAnsi="Times New Roman"/>
                    </w:rPr>
                    <w:t>e</w:t>
                  </w:r>
                  <w:r w:rsidRPr="006C6587">
                    <w:rPr>
                      <w:rFonts w:ascii="Times New Roman" w:hAnsi="Times New Roman"/>
                    </w:rPr>
                    <w:t>ben werden kann.</w:t>
                  </w:r>
                </w:p>
              </w:tc>
            </w:tr>
          </w:tbl>
          <w:p w:rsidR="00F719B6" w:rsidRPr="006C6587" w:rsidRDefault="00F719B6" w:rsidP="008B0795">
            <w:pPr>
              <w:rPr>
                <w:rFonts w:ascii="Times New Roman" w:hAnsi="Times New Roman"/>
              </w:rPr>
            </w:pP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lastRenderedPageBreak/>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(3) Bei Zeitschulden des Arbeitnehmers (Minusstunden) gilt:</w:t>
            </w:r>
          </w:p>
          <w:p w:rsidR="00F719B6" w:rsidRPr="006C6587" w:rsidRDefault="00F719B6" w:rsidP="008B0795">
            <w:pPr>
              <w:rPr>
                <w:rFonts w:ascii="Times New Roman" w:hAnsi="Times New Roman"/>
              </w:rPr>
            </w:pPr>
            <w:bookmarkStart w:id="3" w:name="LI5921237"/>
            <w:r w:rsidRPr="006C6587">
              <w:rPr>
                <w:rFonts w:ascii="Times New Roman" w:hAnsi="Times New Roman"/>
                <w:color w:val="007BC4"/>
                <w:sz w:val="2"/>
                <w:szCs w:val="2"/>
              </w:rPr>
              <w:t> </w:t>
            </w:r>
            <w:bookmarkEnd w:id="3"/>
          </w:p>
          <w:tbl>
            <w:tblPr>
              <w:tblW w:w="0" w:type="auto"/>
              <w:tblBorders>
                <w:top w:val="single" w:sz="6" w:space="0" w:color="E4E4E4"/>
                <w:left w:val="single" w:sz="6" w:space="0" w:color="E4E4E4"/>
                <w:bottom w:val="single" w:sz="6" w:space="0" w:color="E4E4E4"/>
                <w:right w:val="single" w:sz="6" w:space="0" w:color="E4E4E4"/>
              </w:tblBorders>
              <w:tblCellMar>
                <w:top w:w="15" w:type="dxa"/>
                <w:left w:w="15" w:type="dxa"/>
                <w:bottom w:w="15" w:type="dxa"/>
                <w:right w:w="15" w:type="dxa"/>
              </w:tblCellMar>
              <w:tblLook w:val="04A0" w:firstRow="1" w:lastRow="0" w:firstColumn="1" w:lastColumn="0" w:noHBand="0" w:noVBand="1"/>
            </w:tblPr>
            <w:tblGrid>
              <w:gridCol w:w="948"/>
              <w:gridCol w:w="1948"/>
              <w:gridCol w:w="6030"/>
            </w:tblGrid>
            <w:tr w:rsidR="00F719B6" w:rsidRPr="006C6587" w:rsidTr="008B0795">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”Grün“</w:t>
                  </w:r>
                </w:p>
              </w:tc>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bis zu 20 Stunden Zeitschulden (Minusstunden)</w:t>
                  </w:r>
                </w:p>
              </w:tc>
              <w:tc>
                <w:tcPr>
                  <w:tcW w:w="0" w:type="auto"/>
                  <w:tcBorders>
                    <w:bottom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Keine Rechtsfolge. Arbeitnehmer können insbesondere durch Verlängerung ihrer täglichen Arbeit in der Gleitzeit jederzeit Zeitschulden abbauen, die durch Tarifvertrag und </w:t>
                  </w:r>
                  <w:hyperlink r:id="rId10" w:anchor="link?productid=PI26425&amp;docid=HI2829228" w:tgtFrame="_self" w:history="1">
                    <w:r w:rsidRPr="006C6587">
                      <w:rPr>
                        <w:rFonts w:ascii="Times New Roman" w:hAnsi="Times New Roman"/>
                        <w:color w:val="007BC4"/>
                      </w:rPr>
                      <w:t>Arbeitszeitgesetz</w:t>
                    </w:r>
                  </w:hyperlink>
                  <w:r w:rsidRPr="006C6587">
                    <w:rPr>
                      <w:rFonts w:ascii="Times New Roman" w:hAnsi="Times New Roman"/>
                    </w:rPr>
                    <w:t> vorgegebenen Arbeitszeithöchs</w:t>
                  </w:r>
                  <w:r w:rsidRPr="006C6587">
                    <w:rPr>
                      <w:rFonts w:ascii="Times New Roman" w:hAnsi="Times New Roman"/>
                    </w:rPr>
                    <w:t>t</w:t>
                  </w:r>
                  <w:r w:rsidRPr="006C6587">
                    <w:rPr>
                      <w:rFonts w:ascii="Times New Roman" w:hAnsi="Times New Roman"/>
                    </w:rPr>
                    <w:t>grenzen dürfen nicht überschritten werden; die Ruhezeit ist einzuhalten.</w:t>
                  </w:r>
                </w:p>
              </w:tc>
            </w:tr>
            <w:tr w:rsidR="00F719B6" w:rsidRPr="006C6587" w:rsidTr="008B0795">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”Gelb“</w:t>
                  </w:r>
                </w:p>
              </w:tc>
              <w:tc>
                <w:tcPr>
                  <w:tcW w:w="0" w:type="auto"/>
                  <w:tcBorders>
                    <w:bottom w:val="single" w:sz="6" w:space="0" w:color="E4E4E4"/>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mehr als 20, bis zu 30 Stunden</w:t>
                  </w:r>
                </w:p>
              </w:tc>
              <w:tc>
                <w:tcPr>
                  <w:tcW w:w="0" w:type="auto"/>
                  <w:tcBorders>
                    <w:bottom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Die Arbeitgeberin, der (die) Arbeitnehmer(in) und der Betriebsrat wirken darauf hin, das Arbeitszeitkonto schnellstmöglich unter Beachtung arbeitszeitrechtlicher Vorgaben des Tarifvertrags und des </w:t>
                  </w:r>
                  <w:hyperlink r:id="rId11" w:anchor="link?productid=PI26425&amp;docid=HI2829228" w:tgtFrame="_self" w:history="1">
                    <w:r w:rsidRPr="006C6587">
                      <w:rPr>
                        <w:rFonts w:ascii="Times New Roman" w:hAnsi="Times New Roman"/>
                        <w:color w:val="007BC4"/>
                      </w:rPr>
                      <w:t>Arbeitszeitgesetzes</w:t>
                    </w:r>
                  </w:hyperlink>
                  <w:r w:rsidRPr="006C6587">
                    <w:rPr>
                      <w:rFonts w:ascii="Times New Roman" w:hAnsi="Times New Roman"/>
                    </w:rPr>
                    <w:t xml:space="preserve"> wieder in </w:t>
                  </w:r>
                  <w:proofErr w:type="gramStart"/>
                  <w:r w:rsidRPr="006C6587">
                    <w:rPr>
                      <w:rFonts w:ascii="Times New Roman" w:hAnsi="Times New Roman"/>
                    </w:rPr>
                    <w:t>den ”</w:t>
                  </w:r>
                  <w:proofErr w:type="gramEnd"/>
                  <w:r w:rsidRPr="006C6587">
                    <w:rPr>
                      <w:rFonts w:ascii="Times New Roman" w:hAnsi="Times New Roman"/>
                    </w:rPr>
                    <w:t>grünen“ Bereich zurückzuführen. Weitere Zeitschulden dürfen nur aufg</w:t>
                  </w:r>
                  <w:r w:rsidRPr="006C6587">
                    <w:rPr>
                      <w:rFonts w:ascii="Times New Roman" w:hAnsi="Times New Roman"/>
                    </w:rPr>
                    <w:t>e</w:t>
                  </w:r>
                  <w:r w:rsidRPr="006C6587">
                    <w:rPr>
                      <w:rFonts w:ascii="Times New Roman" w:hAnsi="Times New Roman"/>
                    </w:rPr>
                    <w:t>baut werden, wenn dies aus dringenden betrieblichen oder in der Person des Arbeitnehmers liegenden Gründen erforderlich ist.</w:t>
                  </w:r>
                </w:p>
              </w:tc>
            </w:tr>
            <w:tr w:rsidR="00F719B6" w:rsidRPr="006C6587" w:rsidTr="008B0795">
              <w:tc>
                <w:tcPr>
                  <w:tcW w:w="0" w:type="auto"/>
                  <w:tcBorders>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”Rot“</w:t>
                  </w:r>
                </w:p>
              </w:tc>
              <w:tc>
                <w:tcPr>
                  <w:tcW w:w="0" w:type="auto"/>
                  <w:tcBorders>
                    <w:right w:val="single" w:sz="6" w:space="0" w:color="E4E4E4"/>
                  </w:tcBorders>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mehr als 30 Stunden (Zei</w:t>
                  </w:r>
                  <w:r w:rsidRPr="006C6587">
                    <w:rPr>
                      <w:rFonts w:ascii="Times New Roman" w:hAnsi="Times New Roman"/>
                    </w:rPr>
                    <w:t>t</w:t>
                  </w:r>
                  <w:r w:rsidRPr="006C6587">
                    <w:rPr>
                      <w:rFonts w:ascii="Times New Roman" w:hAnsi="Times New Roman"/>
                    </w:rPr>
                    <w:t>schulden)</w:t>
                  </w:r>
                </w:p>
              </w:tc>
              <w:tc>
                <w:tcPr>
                  <w:tcW w:w="0" w:type="auto"/>
                  <w:tcMar>
                    <w:top w:w="120" w:type="dxa"/>
                    <w:left w:w="150" w:type="dxa"/>
                    <w:bottom w:w="120" w:type="dxa"/>
                    <w:right w:w="150" w:type="dxa"/>
                  </w:tcMar>
                  <w:hideMark/>
                </w:tcPr>
                <w:p w:rsidR="00F719B6" w:rsidRPr="006C6587" w:rsidRDefault="00F719B6" w:rsidP="008B0795">
                  <w:pPr>
                    <w:rPr>
                      <w:rFonts w:ascii="Times New Roman" w:hAnsi="Times New Roman"/>
                    </w:rPr>
                  </w:pPr>
                  <w:r w:rsidRPr="006C6587">
                    <w:rPr>
                      <w:rFonts w:ascii="Times New Roman" w:hAnsi="Times New Roman"/>
                    </w:rPr>
                    <w:t xml:space="preserve">Das Arbeitszeitkonto ist innerhalb von zwei Monaten ab Überschreitung der Schwelle </w:t>
                  </w:r>
                  <w:proofErr w:type="gramStart"/>
                  <w:r w:rsidRPr="006C6587">
                    <w:rPr>
                      <w:rFonts w:ascii="Times New Roman" w:hAnsi="Times New Roman"/>
                    </w:rPr>
                    <w:t>zum ”</w:t>
                  </w:r>
                  <w:proofErr w:type="gramEnd"/>
                  <w:r w:rsidRPr="006C6587">
                    <w:rPr>
                      <w:rFonts w:ascii="Times New Roman" w:hAnsi="Times New Roman"/>
                    </w:rPr>
                    <w:t>roten“ Bereich auf ”null“ zu bringen, also auszugleichen. Dabei sind die Arbeitszeithöchstgrenzen des Tarifvertrags und des </w:t>
                  </w:r>
                  <w:hyperlink r:id="rId12" w:anchor="link?productid=PI26425&amp;docid=HI2829228" w:tgtFrame="_self" w:history="1">
                    <w:r w:rsidRPr="006C6587">
                      <w:rPr>
                        <w:rFonts w:ascii="Times New Roman" w:hAnsi="Times New Roman"/>
                        <w:color w:val="007BC4"/>
                      </w:rPr>
                      <w:t>Arbeitszeitgesetzes</w:t>
                    </w:r>
                  </w:hyperlink>
                  <w:r w:rsidRPr="006C6587">
                    <w:rPr>
                      <w:rFonts w:ascii="Times New Roman" w:hAnsi="Times New Roman"/>
                    </w:rPr>
                    <w:t> und die Einhaltung der Ruhezeit zu beachten. Bis der vollständige Ausgleich erreicht ist, dürfen keine weiteren Zeitschulden mehr dem Ampela</w:t>
                  </w:r>
                  <w:r w:rsidRPr="006C6587">
                    <w:rPr>
                      <w:rFonts w:ascii="Times New Roman" w:hAnsi="Times New Roman"/>
                    </w:rPr>
                    <w:t>r</w:t>
                  </w:r>
                  <w:r w:rsidRPr="006C6587">
                    <w:rPr>
                      <w:rFonts w:ascii="Times New Roman" w:hAnsi="Times New Roman"/>
                    </w:rPr>
                    <w:t>beitszeitkonto gutgeschrieben werden. Nach diesem Zeitraum eventuell noch vorhandene Zeitschulden des Arbeitnehmers verfallen zu seinen Gunsten.</w:t>
                  </w:r>
                </w:p>
                <w:p w:rsidR="00F719B6" w:rsidRPr="006C6587" w:rsidRDefault="00F719B6" w:rsidP="008B0795">
                  <w:pPr>
                    <w:rPr>
                      <w:rFonts w:ascii="Times New Roman" w:hAnsi="Times New Roman"/>
                    </w:rPr>
                  </w:pPr>
                  <w:r w:rsidRPr="006C6587">
                    <w:rPr>
                      <w:rFonts w:ascii="Times New Roman" w:hAnsi="Times New Roman"/>
                    </w:rPr>
                    <w:t xml:space="preserve">Überschreitet ein(e) Arbeitnehmer(in) die Schwelle </w:t>
                  </w:r>
                  <w:proofErr w:type="gramStart"/>
                  <w:r w:rsidRPr="006C6587">
                    <w:rPr>
                      <w:rFonts w:ascii="Times New Roman" w:hAnsi="Times New Roman"/>
                    </w:rPr>
                    <w:t>zum ”</w:t>
                  </w:r>
                  <w:proofErr w:type="gramEnd"/>
                  <w:r w:rsidRPr="006C6587">
                    <w:rPr>
                      <w:rFonts w:ascii="Times New Roman" w:hAnsi="Times New Roman"/>
                    </w:rPr>
                    <w:t>roten“ Bereich mehr als zweimal in einem Kalenderjahr, so ist der weitere Aufbau von Zeitschulden (Gutschrift von Zeitschulden auf dem Ampelarbeitszeitkonto) für diese(n) Arbeitnehmer(in) bis zum Ende des laufenden Kalenderjahrs nicht mehr zulässig.</w:t>
                  </w:r>
                </w:p>
              </w:tc>
            </w:tr>
          </w:tbl>
          <w:p w:rsidR="00F719B6" w:rsidRPr="006C6587" w:rsidRDefault="00F719B6" w:rsidP="008B0795">
            <w:pPr>
              <w:rPr>
                <w:rFonts w:ascii="Times New Roman" w:hAnsi="Times New Roman"/>
              </w:rPr>
            </w:pPr>
          </w:p>
        </w:tc>
      </w:tr>
    </w:tbl>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6 Ausgleich des Zeitguthabens/Freizeitausgleich</w:t>
      </w:r>
    </w:p>
    <w:tbl>
      <w:tblPr>
        <w:tblW w:w="0" w:type="auto"/>
        <w:tblCellMar>
          <w:top w:w="15" w:type="dxa"/>
          <w:left w:w="15" w:type="dxa"/>
          <w:bottom w:w="15" w:type="dxa"/>
          <w:right w:w="15" w:type="dxa"/>
        </w:tblCellMar>
        <w:tblLook w:val="04A0" w:firstRow="1" w:lastRow="0" w:firstColumn="1" w:lastColumn="0" w:noHBand="0" w:noVBand="1"/>
      </w:tblPr>
      <w:tblGrid>
        <w:gridCol w:w="130"/>
        <w:gridCol w:w="9017"/>
      </w:tblGrid>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(1) Das auf dem Ampelarbeitszeitkonto gesammelte Zeitguthaben kann ausschließlich durch Freizeitausgleich (bezahlte Freizeitgewährung) ausgeglichen werden, sofern nicht nachst</w:t>
            </w:r>
            <w:r w:rsidRPr="006C6587">
              <w:rPr>
                <w:rFonts w:ascii="Times New Roman" w:hAnsi="Times New Roman"/>
              </w:rPr>
              <w:t>e</w:t>
            </w:r>
            <w:r w:rsidRPr="006C6587">
              <w:rPr>
                <w:rFonts w:ascii="Times New Roman" w:hAnsi="Times New Roman"/>
              </w:rPr>
              <w:t>hend etwas anderes geregelt ist.</w:t>
            </w:r>
          </w:p>
          <w:p w:rsidR="00F719B6" w:rsidRPr="006C6587" w:rsidRDefault="00F719B6" w:rsidP="008B0795">
            <w:pPr>
              <w:rPr>
                <w:rFonts w:ascii="Times New Roman" w:hAnsi="Times New Roman"/>
              </w:rPr>
            </w:pPr>
            <w:r w:rsidRPr="006C6587">
              <w:rPr>
                <w:rFonts w:ascii="Times New Roman" w:hAnsi="Times New Roman"/>
                <w:b/>
                <w:bCs/>
              </w:rPr>
              <w:t>Alternativ: </w:t>
            </w:r>
            <w:r w:rsidRPr="006C6587">
              <w:rPr>
                <w:rFonts w:ascii="Times New Roman" w:hAnsi="Times New Roman"/>
              </w:rPr>
              <w:t xml:space="preserve">Das auf dem Ampelarbeitszeitkonto gesammelte Zeitguthaben kann nach Wahl des </w:t>
            </w:r>
            <w:r w:rsidRPr="006C6587">
              <w:rPr>
                <w:rFonts w:ascii="Times New Roman" w:hAnsi="Times New Roman"/>
              </w:rPr>
              <w:lastRenderedPageBreak/>
              <w:t>Arbeitnehmers sowohl durch Freizeitausgleich (bezahlte Freizeitgewährung) oder durch Abgeltung ausgeglichen werden.</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lastRenderedPageBreak/>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(2)  Der Freizeitausgleich ist in zusammenhängenden ganzen Tagen zu gewähren, hiervon kann nur mit Zustimmung des Betriebsrats in begründeten Einzelfällen abgewichen werden.</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(3)  Bei der Lage der Freizeitausgleichstage sind Wünsche des Arbeitnehmers zu beachten, soweit dringende betriebliche Gründe dem nicht entgegenstehen. Insbesondere können Freizeitausgleichstage auch vor oder nach einem Erholungsurlaub oder nach einer längeren Arbeitsunfähigkeit (Arbeitsunfähigkeit dauert länger als zwei Wochen) gewährt werden.</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(4)  Arbeitnehmer sollen einen Antrag auf Gewährung eines Freizeitausgleichs mindestens zwei Wochen vor Beginn des beantragten Freizeitausgleichs stellen. Können sich Arbei</w:t>
            </w:r>
            <w:r w:rsidRPr="006C6587">
              <w:rPr>
                <w:rFonts w:ascii="Times New Roman" w:hAnsi="Times New Roman"/>
              </w:rPr>
              <w:t>t</w:t>
            </w:r>
            <w:r w:rsidRPr="006C6587">
              <w:rPr>
                <w:rFonts w:ascii="Times New Roman" w:hAnsi="Times New Roman"/>
              </w:rPr>
              <w:t>nehmer und Arbeitgeber nicht über die zeitliche Lage und Dauer des Freizeitausgleichs einigen, so ist der Betriebsrat hinzuzuziehen. Kommt auch nach Vermittlung des Betrieb</w:t>
            </w:r>
            <w:r w:rsidRPr="006C6587">
              <w:rPr>
                <w:rFonts w:ascii="Times New Roman" w:hAnsi="Times New Roman"/>
              </w:rPr>
              <w:t>s</w:t>
            </w:r>
            <w:r w:rsidRPr="006C6587">
              <w:rPr>
                <w:rFonts w:ascii="Times New Roman" w:hAnsi="Times New Roman"/>
              </w:rPr>
              <w:t>rats eine Einigung nicht zustande, so können der Betriebsrat und die Arbeitgeberin die Einigungsstelle anrufen, deren Spruch die Einigung der Parteien ersetzt und die Lage und Dauer des Freizeitausgleichs für den betroffenen Arbeitnehmer verbindlich festsetzt. Im Einigungsstellenverfahren ist dem betroffenen Arbeitnehmer rechtliches Gehör zu gewähren. Dem Arbeitnehmer ist darüber hinaus der Rechtsweg gegeben.</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b/>
                <w:bCs/>
              </w:rPr>
              <w:t>Alternativ (5), </w:t>
            </w:r>
            <w:r w:rsidRPr="006C6587">
              <w:rPr>
                <w:rFonts w:ascii="Times New Roman" w:hAnsi="Times New Roman"/>
              </w:rPr>
              <w:t>nur wenn die Möglichkeit zur Abgeltung des Guthabens besteht: Der Arbei</w:t>
            </w:r>
            <w:r w:rsidRPr="006C6587">
              <w:rPr>
                <w:rFonts w:ascii="Times New Roman" w:hAnsi="Times New Roman"/>
              </w:rPr>
              <w:t>t</w:t>
            </w:r>
            <w:r w:rsidRPr="006C6587">
              <w:rPr>
                <w:rFonts w:ascii="Times New Roman" w:hAnsi="Times New Roman"/>
              </w:rPr>
              <w:t>nehmer hat einen Antrag auf Auszahlung des Arbeitszeitguthabens bis spätestens zum 15. eines Monats in Textform zu stellen; die Auszahlung und die Abrechnung erfolgen dann mit dem nächsten Monatsentgelt.</w:t>
            </w:r>
          </w:p>
        </w:tc>
      </w:tr>
    </w:tbl>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7 Beendigung des Arbeitsverhältnisses</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Im Fall einer Beendigung des Arbeitsverhältnisses ist das Ampelarbeitszeitkonto durch Freizeitgewährung auszugleichen, soweit dies innerhalb der Kündigungsfrist möglich ist. Ist dies nicht möglich, so verfallen Minusstunden ersatzlos ohne Einkommensminderung für den betroffenen Arbeitnehmer; Zeitguthaben ist in Geld auszuzahlen.</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Alternativ: </w:t>
      </w:r>
      <w:r w:rsidRPr="006C6587">
        <w:rPr>
          <w:rFonts w:ascii="Tahoma" w:hAnsi="Tahoma" w:cs="Tahoma"/>
          <w:color w:val="3C3C3C"/>
          <w:spacing w:val="2"/>
          <w:sz w:val="18"/>
          <w:szCs w:val="18"/>
        </w:rPr>
        <w:t>Dies gilt im Fall einer verhaltensbedingten Kündigung nur mit der Maßgabe, dass die Arbeitgeberin bei zum Beendigungszeitpunkt noch vorhandenen Zeitschulden des Arbeitgebers diese in Geld mit noch auszuzahlenden Arbeitsentgelten unter Beachtung der bestehenden Pfändungsfreibetragsgrenzen aufrechnen kann.</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8 Insolvenzsicherung</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Die Arbeitgeberin schließt zur Sicherung der Guthaben auf den Arbeitszeitkonten im Insolvenzfall eine Vers</w:t>
      </w:r>
      <w:r w:rsidRPr="006C6587">
        <w:rPr>
          <w:rFonts w:ascii="Tahoma" w:hAnsi="Tahoma" w:cs="Tahoma"/>
          <w:color w:val="3C3C3C"/>
          <w:spacing w:val="2"/>
          <w:sz w:val="18"/>
          <w:szCs w:val="18"/>
        </w:rPr>
        <w:t>i</w:t>
      </w:r>
      <w:r w:rsidRPr="006C6587">
        <w:rPr>
          <w:rFonts w:ascii="Tahoma" w:hAnsi="Tahoma" w:cs="Tahoma"/>
          <w:color w:val="3C3C3C"/>
          <w:spacing w:val="2"/>
          <w:sz w:val="18"/>
          <w:szCs w:val="18"/>
        </w:rPr>
        <w:t xml:space="preserve">cherung ab. Die Arbeitgeberin hat dem Betriebsrat den Abschluss der Versicherung vor Inbetriebnahme der Arbeitszeitkonten anzuzeigen. Sie hat die hierfür erforderlichen Unterlagen dem Betriebsrat vorzulegen. Des Weiteren hat die Arbeitgeberin die rechtzeitige Zahlung der Versicherungsprämien mindestens zweimal jährlich jeweils zum 1. Januar und zum 1. Juni eines jeden Jahres dem Betriebsrat unter Vorlage entsprechender Unterlagen nachzuweisen. Eine eventuelle Kündigung der Versicherung ist dem Betriebsrat </w:t>
      </w:r>
      <w:r w:rsidRPr="006C6587">
        <w:rPr>
          <w:rFonts w:ascii="Tahoma" w:hAnsi="Tahoma" w:cs="Tahoma"/>
          <w:color w:val="3C3C3C"/>
          <w:spacing w:val="2"/>
          <w:sz w:val="18"/>
          <w:szCs w:val="18"/>
        </w:rPr>
        <w:lastRenderedPageBreak/>
        <w:t>unverzüglich mitzuteilen. In diesem Fall kann die vorliegende Betriebsvereinbarung beiderseits ohne Nachwirkung aus wichtigem Grund ohne Einhaltung einer Kündigungsfrist gekündigt werden.</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9 Informationsrechte des Betriebsrats</w:t>
      </w:r>
    </w:p>
    <w:tbl>
      <w:tblPr>
        <w:tblW w:w="0" w:type="auto"/>
        <w:tblCellMar>
          <w:top w:w="15" w:type="dxa"/>
          <w:left w:w="15" w:type="dxa"/>
          <w:bottom w:w="15" w:type="dxa"/>
          <w:right w:w="15" w:type="dxa"/>
        </w:tblCellMar>
        <w:tblLook w:val="04A0" w:firstRow="1" w:lastRow="0" w:firstColumn="1" w:lastColumn="0" w:noHBand="0" w:noVBand="1"/>
      </w:tblPr>
      <w:tblGrid>
        <w:gridCol w:w="130"/>
        <w:gridCol w:w="9017"/>
      </w:tblGrid>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(1) Unbeschadet der betriebsverfassungsrechtlichen Informationsansprüche des Betriebsrats stellt die Arbeitgeberin dem Betriebsrat monatlich zum Ersten eines Monats einen vollstä</w:t>
            </w:r>
            <w:r w:rsidRPr="006C6587">
              <w:rPr>
                <w:rFonts w:ascii="Times New Roman" w:hAnsi="Times New Roman"/>
              </w:rPr>
              <w:t>n</w:t>
            </w:r>
            <w:r w:rsidRPr="006C6587">
              <w:rPr>
                <w:rFonts w:ascii="Times New Roman" w:hAnsi="Times New Roman"/>
              </w:rPr>
              <w:t>digen Kontoauszug des Ampelarbeitszeitkontos jedes einzelnen Arbeitnehmers im Ge</w:t>
            </w:r>
            <w:r w:rsidRPr="006C6587">
              <w:rPr>
                <w:rFonts w:ascii="Times New Roman" w:hAnsi="Times New Roman"/>
              </w:rPr>
              <w:t>l</w:t>
            </w:r>
            <w:r w:rsidRPr="006C6587">
              <w:rPr>
                <w:rFonts w:ascii="Times New Roman" w:hAnsi="Times New Roman"/>
              </w:rPr>
              <w:t xml:space="preserve">tungsbereich dieser Betriebsvereinbarung in Textform zur Verfügung. Darüber hinaus hat sie den Betriebsrat unverzüglich zu informieren, wenn ein Arbeitnehmer die Schwelle </w:t>
            </w:r>
            <w:proofErr w:type="gramStart"/>
            <w:r w:rsidRPr="006C6587">
              <w:rPr>
                <w:rFonts w:ascii="Times New Roman" w:hAnsi="Times New Roman"/>
              </w:rPr>
              <w:t>zum ”</w:t>
            </w:r>
            <w:proofErr w:type="gramEnd"/>
            <w:r w:rsidRPr="006C6587">
              <w:rPr>
                <w:rFonts w:ascii="Times New Roman" w:hAnsi="Times New Roman"/>
              </w:rPr>
              <w:t>roten“ Bereich des Arbeitszeitkontos überschreitet.</w:t>
            </w:r>
          </w:p>
        </w:tc>
      </w:tr>
      <w:tr w:rsidR="00F719B6" w:rsidRPr="006C6587" w:rsidTr="008B0795">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 </w:t>
            </w:r>
          </w:p>
        </w:tc>
        <w:tc>
          <w:tcPr>
            <w:tcW w:w="0" w:type="auto"/>
            <w:tcMar>
              <w:top w:w="120" w:type="dxa"/>
              <w:left w:w="0" w:type="dxa"/>
              <w:bottom w:w="120" w:type="dxa"/>
              <w:right w:w="75" w:type="dxa"/>
            </w:tcMar>
            <w:vAlign w:val="center"/>
            <w:hideMark/>
          </w:tcPr>
          <w:p w:rsidR="00F719B6" w:rsidRPr="006C6587" w:rsidRDefault="00F719B6" w:rsidP="008B0795">
            <w:pPr>
              <w:rPr>
                <w:rFonts w:ascii="Times New Roman" w:hAnsi="Times New Roman"/>
              </w:rPr>
            </w:pPr>
            <w:r w:rsidRPr="006C6587">
              <w:rPr>
                <w:rFonts w:ascii="Times New Roman" w:hAnsi="Times New Roman"/>
              </w:rPr>
              <w:t>(2)  Die Betriebsparteien haben im Fall des Erreichens des roten Bereichs ebenfalls unve</w:t>
            </w:r>
            <w:r w:rsidRPr="006C6587">
              <w:rPr>
                <w:rFonts w:ascii="Times New Roman" w:hAnsi="Times New Roman"/>
              </w:rPr>
              <w:t>r</w:t>
            </w:r>
            <w:r w:rsidRPr="006C6587">
              <w:rPr>
                <w:rFonts w:ascii="Times New Roman" w:hAnsi="Times New Roman"/>
              </w:rPr>
              <w:t xml:space="preserve">züglich über Maßnahmen zu beraten, wie das Arbeitszeitkonto wieder ausgeglichen werden kann. Insbesondere hat der Betriebsrat seine Zustimmung zu weiteren Überstunden und Mehrarbeit zu verweigern, wenn das maximale Zeitguthaben überschritten worden ist. Die Betriebsparteien haben auch über die Ursachen für die Erreichung </w:t>
            </w:r>
            <w:proofErr w:type="gramStart"/>
            <w:r w:rsidRPr="006C6587">
              <w:rPr>
                <w:rFonts w:ascii="Times New Roman" w:hAnsi="Times New Roman"/>
              </w:rPr>
              <w:t>des ”</w:t>
            </w:r>
            <w:proofErr w:type="gramEnd"/>
            <w:r w:rsidRPr="006C6587">
              <w:rPr>
                <w:rFonts w:ascii="Times New Roman" w:hAnsi="Times New Roman"/>
              </w:rPr>
              <w:t>roten“ Bereichs zu beraten und Abhilfemaßnahmen für die Zukunft zu beraten.</w:t>
            </w:r>
          </w:p>
        </w:tc>
      </w:tr>
    </w:tbl>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10 Zeiterfassung</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Die Zeiterfassung erfolgt im Rahmen des betrieblichen Zeiterfassungssystems. Das Zeiterfassungsgerät (= Terminal) ist bei Betreten und Verlassen des Betriebsgeländes zu betätigen. Dies gilt nicht für die Mittagspa</w:t>
      </w:r>
      <w:r w:rsidRPr="006C6587">
        <w:rPr>
          <w:rFonts w:ascii="Tahoma" w:hAnsi="Tahoma" w:cs="Tahoma"/>
          <w:color w:val="3C3C3C"/>
          <w:spacing w:val="2"/>
          <w:sz w:val="18"/>
          <w:szCs w:val="18"/>
        </w:rPr>
        <w:t>u</w:t>
      </w:r>
      <w:r w:rsidRPr="006C6587">
        <w:rPr>
          <w:rFonts w:ascii="Tahoma" w:hAnsi="Tahoma" w:cs="Tahoma"/>
          <w:color w:val="3C3C3C"/>
          <w:spacing w:val="2"/>
          <w:sz w:val="18"/>
          <w:szCs w:val="18"/>
        </w:rPr>
        <w:t>se. Das Nähere regelt eine separate Betriebsvereinbarung zur Nutzung des Arbeitszeiterfassungssystems.</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b/>
          <w:bCs/>
          <w:color w:val="3C3C3C"/>
          <w:spacing w:val="2"/>
          <w:sz w:val="18"/>
          <w:szCs w:val="18"/>
        </w:rPr>
        <w:t>§ 11 Inkrafttreten/Kündigung</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Diese Betriebsvereinbarung tritt am … in Kraft.</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 xml:space="preserve">Sollte diese Betriebsvereinbarung teilweise unwirksam sein oder </w:t>
      </w:r>
      <w:proofErr w:type="gramStart"/>
      <w:r w:rsidRPr="006C6587">
        <w:rPr>
          <w:rFonts w:ascii="Tahoma" w:hAnsi="Tahoma" w:cs="Tahoma"/>
          <w:color w:val="3C3C3C"/>
          <w:spacing w:val="2"/>
          <w:sz w:val="18"/>
          <w:szCs w:val="18"/>
        </w:rPr>
        <w:t>werden</w:t>
      </w:r>
      <w:proofErr w:type="gramEnd"/>
      <w:r w:rsidRPr="006C6587">
        <w:rPr>
          <w:rFonts w:ascii="Tahoma" w:hAnsi="Tahoma" w:cs="Tahoma"/>
          <w:color w:val="3C3C3C"/>
          <w:spacing w:val="2"/>
          <w:sz w:val="18"/>
          <w:szCs w:val="18"/>
        </w:rPr>
        <w:t>, so berührt dies nicht die Wirksamkeit der Betriebsvereinbarung im Übrigen. Vielmehr verpflichten sich die Betriebsparteien, den unwirksamen Teil durch eine Neuregelung zu ersetzen, die dem wirtschaftlichen Sinn und Zweck des unwirksamen Teils so nahe wie möglich kommt.</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Diese Betriebsvereinbarung kann schriftlich mit einer Frist von sechs Monaten zum Ende des Kalenderjahrs gekündigt werden. Die Betriebsvereinbarung wirkt in allen ihren Teilen bis zum Abschluss einer sie ersetzenden Regelung nach.</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Im Fall der Kündigung führen Geschäftsleitung und Betriebsrat eine einvernehmliche Lösung über die Abge</w:t>
      </w:r>
      <w:r w:rsidRPr="006C6587">
        <w:rPr>
          <w:rFonts w:ascii="Tahoma" w:hAnsi="Tahoma" w:cs="Tahoma"/>
          <w:color w:val="3C3C3C"/>
          <w:spacing w:val="2"/>
          <w:sz w:val="18"/>
          <w:szCs w:val="18"/>
        </w:rPr>
        <w:t>l</w:t>
      </w:r>
      <w:r w:rsidRPr="006C6587">
        <w:rPr>
          <w:rFonts w:ascii="Tahoma" w:hAnsi="Tahoma" w:cs="Tahoma"/>
          <w:color w:val="3C3C3C"/>
          <w:spacing w:val="2"/>
          <w:sz w:val="18"/>
          <w:szCs w:val="18"/>
        </w:rPr>
        <w:t>tung der bis zu diesem Zeitpunkt angesparten Zeitguthaben herbei.</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Musterstadt, Datum ...</w:t>
      </w:r>
    </w:p>
    <w:p w:rsidR="00F719B6" w:rsidRPr="006C6587" w:rsidRDefault="00F719B6" w:rsidP="00F719B6">
      <w:pPr>
        <w:shd w:val="clear" w:color="auto" w:fill="FFFFFF"/>
        <w:spacing w:before="120" w:after="120"/>
        <w:rPr>
          <w:rFonts w:ascii="Tahoma" w:hAnsi="Tahoma" w:cs="Tahoma"/>
          <w:color w:val="3C3C3C"/>
          <w:spacing w:val="2"/>
          <w:sz w:val="18"/>
          <w:szCs w:val="18"/>
        </w:rPr>
      </w:pPr>
      <w:r w:rsidRPr="006C6587">
        <w:rPr>
          <w:rFonts w:ascii="Tahoma" w:hAnsi="Tahoma" w:cs="Tahoma"/>
          <w:color w:val="3C3C3C"/>
          <w:spacing w:val="2"/>
          <w:sz w:val="18"/>
          <w:szCs w:val="18"/>
        </w:rPr>
        <w:t>Unterschrift Betriebsratsvorsitzender Unterschrift Geschäftsführer</w:t>
      </w:r>
    </w:p>
    <w:sectPr w:rsidR="00F719B6" w:rsidRPr="006C6587" w:rsidSect="00AB6068">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F62" w:rsidRDefault="00766F62" w:rsidP="00645C6A">
      <w:pPr>
        <w:spacing w:after="0" w:line="240" w:lineRule="auto"/>
      </w:pPr>
      <w:r>
        <w:separator/>
      </w:r>
    </w:p>
  </w:endnote>
  <w:endnote w:type="continuationSeparator" w:id="0">
    <w:p w:rsidR="00766F62" w:rsidRDefault="00766F62"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7DC9D44" wp14:editId="3589F3C6">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F719B6">
      <w:rPr>
        <w:sz w:val="16"/>
        <w:szCs w:val="16"/>
      </w:rPr>
      <w:t>April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F62" w:rsidRDefault="00766F62" w:rsidP="00645C6A">
      <w:pPr>
        <w:spacing w:after="0" w:line="240" w:lineRule="auto"/>
      </w:pPr>
      <w:r>
        <w:separator/>
      </w:r>
    </w:p>
  </w:footnote>
  <w:footnote w:type="continuationSeparator" w:id="0">
    <w:p w:rsidR="00766F62" w:rsidRDefault="00766F62"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A784A06" wp14:editId="53BCAA4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070D7"/>
    <w:rsid w:val="0043100C"/>
    <w:rsid w:val="004E4B9B"/>
    <w:rsid w:val="005B72E6"/>
    <w:rsid w:val="005C1193"/>
    <w:rsid w:val="005E2E83"/>
    <w:rsid w:val="0062183F"/>
    <w:rsid w:val="00645C6A"/>
    <w:rsid w:val="006527DB"/>
    <w:rsid w:val="00730DBA"/>
    <w:rsid w:val="00766F62"/>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4430"/>
    <w:rsid w:val="00E9159F"/>
    <w:rsid w:val="00F719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ucts.weka-business-portal.de/"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roducts.weka-business-portal.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roducts.weka-business-portal.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oducts.weka-business-portal.de/" TargetMode="External"/><Relationship Id="rId4" Type="http://schemas.openxmlformats.org/officeDocument/2006/relationships/settings" Target="settings.xml"/><Relationship Id="rId9" Type="http://schemas.openxmlformats.org/officeDocument/2006/relationships/hyperlink" Target="https://products.weka-business-portal.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1910</Words>
  <Characters>12036</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2019-02-12T12:39:00Z</dcterms:created>
  <dcterms:modified xsi:type="dcterms:W3CDTF">2019-02-12T12:39:00Z</dcterms:modified>
</cp:coreProperties>
</file>