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bookmarkStart w:id="0" w:name="_GoBack"/>
      <w:bookmarkEnd w:id="0"/>
    </w:p>
    <w:p w:rsidR="007846B2" w:rsidRDefault="007846B2"/>
    <w:p w:rsidR="00BE3933" w:rsidRDefault="00BE18F3" w:rsidP="00BE3933">
      <w:pPr>
        <w:jc w:val="both"/>
        <w:rPr>
          <w:rFonts w:cs="Times New Roman"/>
          <w:b/>
          <w:color w:val="943634" w:themeColor="accent2" w:themeShade="BF"/>
          <w:sz w:val="28"/>
          <w:szCs w:val="28"/>
        </w:rPr>
      </w:pPr>
      <w:r>
        <w:rPr>
          <w:rFonts w:cs="Times New Roman"/>
          <w:b/>
          <w:color w:val="943634" w:themeColor="accent2" w:themeShade="BF"/>
          <w:sz w:val="28"/>
          <w:szCs w:val="28"/>
        </w:rPr>
        <w:t>Rechtsprechungsübersicht Betriebsfeier und Betriebsausflug</w:t>
      </w:r>
    </w:p>
    <w:p w:rsidR="00BE18F3" w:rsidRPr="00867C17" w:rsidRDefault="00BE18F3" w:rsidP="00BE18F3">
      <w:pPr>
        <w:jc w:val="both"/>
        <w:rPr>
          <w:rFonts w:cs="Times New Roman"/>
          <w:b/>
        </w:rPr>
      </w:pPr>
      <w:r w:rsidRPr="00867C17">
        <w:rPr>
          <w:rFonts w:cs="Times New Roman"/>
          <w:b/>
        </w:rPr>
        <w:t>Betriebliche Übung bei Gewährung freier Tage oder Stunden</w:t>
      </w:r>
    </w:p>
    <w:p w:rsidR="00BE18F3" w:rsidRPr="00BE18F3" w:rsidRDefault="00BE18F3" w:rsidP="00BE18F3">
      <w:pPr>
        <w:jc w:val="both"/>
        <w:rPr>
          <w:rFonts w:cs="Times New Roman"/>
        </w:rPr>
      </w:pPr>
      <w:r w:rsidRPr="00BE18F3">
        <w:rPr>
          <w:rFonts w:cs="Times New Roman"/>
        </w:rPr>
        <w:t>1.</w:t>
      </w:r>
      <w:r w:rsidRPr="00BE18F3">
        <w:rPr>
          <w:rFonts w:cs="Times New Roman"/>
        </w:rPr>
        <w:tab/>
        <w:t>Ob aus einem wiederholten tatsächlichen Verhalten des Arbeitgebers auf einen Verpflichtungswillen auch für vergleichbare Fälle geschlossen werden kann, hat der Tatsachenrichter unter Berücksichtigung aller Umstände zu ermitteln.</w:t>
      </w:r>
    </w:p>
    <w:p w:rsidR="00BE18F3" w:rsidRPr="00BE18F3" w:rsidRDefault="00BE18F3" w:rsidP="00BE18F3">
      <w:pPr>
        <w:jc w:val="both"/>
        <w:rPr>
          <w:rFonts w:cs="Times New Roman"/>
        </w:rPr>
      </w:pPr>
      <w:r w:rsidRPr="00BE18F3">
        <w:rPr>
          <w:rFonts w:cs="Times New Roman"/>
        </w:rPr>
        <w:t>2.</w:t>
      </w:r>
      <w:r w:rsidRPr="00BE18F3">
        <w:rPr>
          <w:rFonts w:cs="Times New Roman"/>
        </w:rPr>
        <w:tab/>
        <w:t>Ein Vertrauenstatbestand zugunsten der Arbeitnehmer kann bei materiellen Zuwendungen eher angenommen werden als bei Gewährung zusätzlicher freier Tage oder Stunden aus besonderem Anlass.</w:t>
      </w:r>
    </w:p>
    <w:p w:rsidR="00BE18F3" w:rsidRPr="00BE18F3" w:rsidRDefault="00BE18F3" w:rsidP="00BE18F3">
      <w:pPr>
        <w:jc w:val="both"/>
        <w:rPr>
          <w:rFonts w:cs="Times New Roman"/>
        </w:rPr>
      </w:pPr>
      <w:r w:rsidRPr="00BE18F3">
        <w:rPr>
          <w:rFonts w:cs="Times New Roman"/>
        </w:rPr>
        <w:t xml:space="preserve">(BAG vom 17.09.1970 - </w:t>
      </w:r>
      <w:proofErr w:type="spellStart"/>
      <w:r w:rsidRPr="00BE18F3">
        <w:rPr>
          <w:rFonts w:cs="Times New Roman"/>
        </w:rPr>
        <w:t>Az</w:t>
      </w:r>
      <w:proofErr w:type="spellEnd"/>
      <w:r w:rsidRPr="00BE18F3">
        <w:rPr>
          <w:rFonts w:cs="Times New Roman"/>
        </w:rPr>
        <w:t>: 5 AZR 539/69 -; in: AP Nr. 9 zu 242 BGB)</w:t>
      </w:r>
    </w:p>
    <w:p w:rsidR="00BE18F3" w:rsidRDefault="00BE18F3" w:rsidP="00BE18F3">
      <w:pPr>
        <w:jc w:val="both"/>
        <w:rPr>
          <w:rFonts w:cs="Times New Roman"/>
        </w:rPr>
      </w:pPr>
    </w:p>
    <w:p w:rsidR="00BE18F3" w:rsidRPr="00867C17" w:rsidRDefault="00BE18F3" w:rsidP="00BE18F3">
      <w:pPr>
        <w:jc w:val="both"/>
        <w:rPr>
          <w:rFonts w:cs="Times New Roman"/>
          <w:b/>
        </w:rPr>
      </w:pPr>
      <w:r w:rsidRPr="00867C17">
        <w:rPr>
          <w:rFonts w:cs="Times New Roman"/>
          <w:b/>
        </w:rPr>
        <w:t>Künstlerauftritt bei Jubiläumsveranstaltung</w:t>
      </w:r>
    </w:p>
    <w:p w:rsidR="00BE18F3" w:rsidRPr="00BE18F3" w:rsidRDefault="00BE18F3" w:rsidP="00BE18F3">
      <w:pPr>
        <w:jc w:val="both"/>
        <w:rPr>
          <w:rFonts w:cs="Times New Roman"/>
        </w:rPr>
      </w:pPr>
      <w:r w:rsidRPr="00BE18F3">
        <w:rPr>
          <w:rFonts w:cs="Times New Roman"/>
        </w:rPr>
        <w:t>1.</w:t>
      </w:r>
      <w:r w:rsidRPr="00BE18F3">
        <w:rPr>
          <w:rFonts w:cs="Times New Roman"/>
        </w:rPr>
        <w:tab/>
        <w:t>Kurzfristige Dienstleistungen, die außerhalb des eigentlichen unternehmerischen Ziels des Dienstberechtigten liegen, werden i.d.R. auf der Ebene der Gleichordnung vereinbart und durchgeführt.</w:t>
      </w:r>
    </w:p>
    <w:p w:rsidR="00BE18F3" w:rsidRPr="00BE18F3" w:rsidRDefault="00BE18F3" w:rsidP="00BE18F3">
      <w:pPr>
        <w:jc w:val="both"/>
        <w:rPr>
          <w:rFonts w:cs="Times New Roman"/>
        </w:rPr>
      </w:pPr>
      <w:r w:rsidRPr="00BE18F3">
        <w:rPr>
          <w:rFonts w:cs="Times New Roman"/>
        </w:rPr>
        <w:t>2.</w:t>
      </w:r>
      <w:r w:rsidRPr="00BE18F3">
        <w:rPr>
          <w:rFonts w:cs="Times New Roman"/>
        </w:rPr>
        <w:tab/>
        <w:t>Ein Künstler, der auf der Jubiläumsveranstaltung eines Unternehmens einmalig eine von ihm selbst gestaltete Zaubershow darbietet, ist weder Arbeitnehmer noch arbeitnehmerähnliche Person im Sinne von § 3 Abs. 1 Satz 2 ArbGG.</w:t>
      </w:r>
    </w:p>
    <w:p w:rsidR="00BE18F3" w:rsidRPr="00BE18F3" w:rsidRDefault="00BE18F3" w:rsidP="00BE18F3">
      <w:pPr>
        <w:jc w:val="both"/>
        <w:rPr>
          <w:rFonts w:cs="Times New Roman"/>
        </w:rPr>
      </w:pPr>
      <w:r w:rsidRPr="00BE18F3">
        <w:rPr>
          <w:rFonts w:cs="Times New Roman"/>
        </w:rPr>
        <w:t>(BAG vom 06.12.1974 - 5 AZR 418/74 -; in: AP Nr. 14 zu § 611 BGB)</w:t>
      </w:r>
    </w:p>
    <w:p w:rsidR="00BE18F3" w:rsidRDefault="00BE18F3" w:rsidP="00BE18F3">
      <w:pPr>
        <w:jc w:val="both"/>
        <w:rPr>
          <w:rFonts w:cs="Times New Roman"/>
        </w:rPr>
      </w:pPr>
    </w:p>
    <w:p w:rsidR="00BE18F3" w:rsidRPr="00867C17" w:rsidRDefault="00BE18F3" w:rsidP="00BE18F3">
      <w:pPr>
        <w:jc w:val="both"/>
        <w:rPr>
          <w:rFonts w:cs="Times New Roman"/>
          <w:b/>
        </w:rPr>
      </w:pPr>
      <w:r w:rsidRPr="00867C17">
        <w:rPr>
          <w:rFonts w:cs="Times New Roman"/>
          <w:b/>
        </w:rPr>
        <w:t>Teilnahme am Richtfest</w:t>
      </w:r>
    </w:p>
    <w:p w:rsidR="00BE18F3" w:rsidRPr="00BE18F3" w:rsidRDefault="00BE18F3" w:rsidP="00BE18F3">
      <w:pPr>
        <w:jc w:val="both"/>
        <w:rPr>
          <w:rFonts w:cs="Times New Roman"/>
        </w:rPr>
      </w:pPr>
      <w:r w:rsidRPr="00BE18F3">
        <w:rPr>
          <w:rFonts w:cs="Times New Roman"/>
        </w:rPr>
        <w:t>Die Teilnahme der am Bau beteiligten Handwerker am Richtfest entspricht einem althergebrachten Brauch, sodass hierbei Versicherungsschutz besteht (betriebliche Gemeinschaftsveranstaltung mit gewisser Sonderstellung)</w:t>
      </w:r>
    </w:p>
    <w:p w:rsidR="00BE18F3" w:rsidRPr="00BE18F3" w:rsidRDefault="00BE18F3" w:rsidP="00BE18F3">
      <w:pPr>
        <w:jc w:val="both"/>
        <w:rPr>
          <w:rFonts w:cs="Times New Roman"/>
        </w:rPr>
      </w:pPr>
      <w:r w:rsidRPr="00BE18F3">
        <w:rPr>
          <w:rFonts w:cs="Times New Roman"/>
        </w:rPr>
        <w:t xml:space="preserve">(BSG vom 10.12.1975 - 8 RU 202/74 -; in: </w:t>
      </w:r>
      <w:proofErr w:type="spellStart"/>
      <w:r w:rsidRPr="00BE18F3">
        <w:rPr>
          <w:rFonts w:cs="Times New Roman"/>
        </w:rPr>
        <w:t>AiB</w:t>
      </w:r>
      <w:proofErr w:type="spellEnd"/>
      <w:r w:rsidRPr="00BE18F3">
        <w:rPr>
          <w:rFonts w:cs="Times New Roman"/>
        </w:rPr>
        <w:t xml:space="preserve"> 1994, Seite 189)</w:t>
      </w:r>
    </w:p>
    <w:p w:rsidR="00BE18F3" w:rsidRDefault="00BE18F3" w:rsidP="00BE18F3">
      <w:pPr>
        <w:jc w:val="both"/>
        <w:rPr>
          <w:rFonts w:cs="Times New Roman"/>
        </w:rPr>
      </w:pPr>
    </w:p>
    <w:p w:rsidR="00BE18F3" w:rsidRPr="00867C17" w:rsidRDefault="00BE18F3" w:rsidP="00BE18F3">
      <w:pPr>
        <w:jc w:val="both"/>
        <w:rPr>
          <w:rFonts w:cs="Times New Roman"/>
          <w:b/>
        </w:rPr>
      </w:pPr>
      <w:r w:rsidRPr="00867C17">
        <w:rPr>
          <w:rFonts w:cs="Times New Roman"/>
          <w:b/>
        </w:rPr>
        <w:t>Besuch des Oktoberfests während einer Fortbildung</w:t>
      </w:r>
    </w:p>
    <w:p w:rsidR="00BE18F3" w:rsidRPr="00BE18F3" w:rsidRDefault="00BE18F3" w:rsidP="00BE18F3">
      <w:pPr>
        <w:jc w:val="both"/>
        <w:rPr>
          <w:rFonts w:cs="Times New Roman"/>
        </w:rPr>
      </w:pPr>
      <w:r w:rsidRPr="00BE18F3">
        <w:rPr>
          <w:rFonts w:cs="Times New Roman"/>
        </w:rPr>
        <w:t>Der vom Betrieb ausgewählte Teilnehmer an einem Lehrgang oder einer Fortbildungsveranstaltung steht bei einem Besuch des Münchener Oktoberfestes auch dann nicht unter Unfallversicherungsschutz, wenn eine solche Freizeitveranstaltung vom Arbeitgeber im Rahmen des Lehrgangs organisiert und finanziert worden ist.</w:t>
      </w:r>
    </w:p>
    <w:p w:rsidR="00BE18F3" w:rsidRPr="00BE18F3" w:rsidRDefault="00BE18F3" w:rsidP="00BE18F3">
      <w:pPr>
        <w:jc w:val="both"/>
        <w:rPr>
          <w:rFonts w:cs="Times New Roman"/>
        </w:rPr>
      </w:pPr>
      <w:r w:rsidRPr="00BE18F3">
        <w:rPr>
          <w:rFonts w:cs="Times New Roman"/>
        </w:rPr>
        <w:lastRenderedPageBreak/>
        <w:t xml:space="preserve">(BSG vom 22.06.1976 - 8 RU 148/75 -; in: </w:t>
      </w:r>
      <w:proofErr w:type="spellStart"/>
      <w:r w:rsidRPr="00BE18F3">
        <w:rPr>
          <w:rFonts w:cs="Times New Roman"/>
        </w:rPr>
        <w:t>AiB</w:t>
      </w:r>
      <w:proofErr w:type="spellEnd"/>
      <w:r w:rsidRPr="00BE18F3">
        <w:rPr>
          <w:rFonts w:cs="Times New Roman"/>
        </w:rPr>
        <w:t xml:space="preserve"> 1994, Seite 185)</w:t>
      </w:r>
    </w:p>
    <w:p w:rsidR="00BE18F3" w:rsidRDefault="00BE18F3" w:rsidP="00BE18F3">
      <w:pPr>
        <w:jc w:val="both"/>
        <w:rPr>
          <w:rFonts w:cs="Times New Roman"/>
        </w:rPr>
      </w:pPr>
    </w:p>
    <w:p w:rsidR="00BE18F3" w:rsidRPr="00867C17" w:rsidRDefault="00BE18F3" w:rsidP="00BE18F3">
      <w:pPr>
        <w:jc w:val="both"/>
        <w:rPr>
          <w:rFonts w:cs="Times New Roman"/>
          <w:b/>
        </w:rPr>
      </w:pPr>
      <w:r w:rsidRPr="00867C17">
        <w:rPr>
          <w:rFonts w:cs="Times New Roman"/>
          <w:b/>
        </w:rPr>
        <w:t>Versicherungsschutz bei Gemeinschaftsveranstaltung</w:t>
      </w:r>
    </w:p>
    <w:p w:rsidR="00BE18F3" w:rsidRPr="00BE18F3" w:rsidRDefault="00BE18F3" w:rsidP="00BE18F3">
      <w:pPr>
        <w:jc w:val="both"/>
        <w:rPr>
          <w:rFonts w:cs="Times New Roman"/>
        </w:rPr>
      </w:pPr>
      <w:r w:rsidRPr="00BE18F3">
        <w:rPr>
          <w:rFonts w:cs="Times New Roman"/>
        </w:rPr>
        <w:t>Bei betrieblichen Gemeinschaftsveranstaltungen stehen alle Tätigkeiten unter Versicherungsschutz, die mit dem Gesamtzweck der Veranstaltung vereinbar sind, wobei deren Organisation im Einzelnen durch den Arbeitgeber (Veranstalter) nicht erforderlich ist. Dass sich der Unfall bei einer von Erwachsenen sonst nicht geübten Spielerei ereignet, hebt den inneren Zusammenhang mit der Gemeinschaftsveranstaltung nicht auf.</w:t>
      </w:r>
    </w:p>
    <w:p w:rsidR="00BE18F3" w:rsidRPr="00BE18F3" w:rsidRDefault="00BE18F3" w:rsidP="00BE18F3">
      <w:pPr>
        <w:jc w:val="both"/>
        <w:rPr>
          <w:rFonts w:cs="Times New Roman"/>
        </w:rPr>
      </w:pPr>
      <w:r w:rsidRPr="00BE18F3">
        <w:rPr>
          <w:rFonts w:cs="Times New Roman"/>
        </w:rPr>
        <w:t xml:space="preserve">(LSG Nordrhein-Westfalen vom 22.10.1986 - L 17 U 97/85 -; in: </w:t>
      </w:r>
      <w:proofErr w:type="spellStart"/>
      <w:r w:rsidRPr="00BE18F3">
        <w:rPr>
          <w:rFonts w:cs="Times New Roman"/>
        </w:rPr>
        <w:t>AiB</w:t>
      </w:r>
      <w:proofErr w:type="spellEnd"/>
      <w:r w:rsidRPr="00BE18F3">
        <w:rPr>
          <w:rFonts w:cs="Times New Roman"/>
        </w:rPr>
        <w:t xml:space="preserve"> 1994, Seite 185)</w:t>
      </w:r>
    </w:p>
    <w:p w:rsidR="00BE18F3" w:rsidRDefault="00BE18F3" w:rsidP="00BE18F3">
      <w:pPr>
        <w:jc w:val="both"/>
        <w:rPr>
          <w:rFonts w:cs="Times New Roman"/>
        </w:rPr>
      </w:pPr>
    </w:p>
    <w:p w:rsidR="00BE18F3" w:rsidRPr="00867C17" w:rsidRDefault="00BE18F3" w:rsidP="00BE18F3">
      <w:pPr>
        <w:jc w:val="both"/>
        <w:rPr>
          <w:rFonts w:cs="Times New Roman"/>
          <w:b/>
        </w:rPr>
      </w:pPr>
      <w:r w:rsidRPr="00867C17">
        <w:rPr>
          <w:rFonts w:cs="Times New Roman"/>
          <w:b/>
        </w:rPr>
        <w:t>Unfallversicherungsschutz beim geselligen Beisammensein</w:t>
      </w:r>
    </w:p>
    <w:p w:rsidR="00BE18F3" w:rsidRPr="00BE18F3" w:rsidRDefault="00BE18F3" w:rsidP="00BE18F3">
      <w:pPr>
        <w:jc w:val="both"/>
        <w:rPr>
          <w:rFonts w:cs="Times New Roman"/>
        </w:rPr>
      </w:pPr>
      <w:r w:rsidRPr="00BE18F3">
        <w:rPr>
          <w:rFonts w:cs="Times New Roman"/>
        </w:rPr>
        <w:t>Die Teilnehmer eines am Faschingsdienstag während der Arbeitszeit in der Amtscafeteria stattfindenden geselligen Beisammenseins stehen dabei nicht schon deshalb unter Unfallversicherungsschutz, weil dieses – jährlich wiederkehrende – Beisammensein mit Billigung der Behördenleitung stattfindet.</w:t>
      </w:r>
    </w:p>
    <w:p w:rsidR="00BE18F3" w:rsidRPr="00BE18F3" w:rsidRDefault="00BE18F3" w:rsidP="00BE18F3">
      <w:pPr>
        <w:jc w:val="both"/>
        <w:rPr>
          <w:rFonts w:cs="Times New Roman"/>
        </w:rPr>
      </w:pPr>
      <w:r w:rsidRPr="00BE18F3">
        <w:rPr>
          <w:rFonts w:cs="Times New Roman"/>
        </w:rPr>
        <w:t xml:space="preserve">(LSG Bayern vom 26.11.1991 - L 1 U 232/90 -; in: </w:t>
      </w:r>
      <w:proofErr w:type="spellStart"/>
      <w:r w:rsidRPr="00BE18F3">
        <w:rPr>
          <w:rFonts w:cs="Times New Roman"/>
        </w:rPr>
        <w:t>AiB</w:t>
      </w:r>
      <w:proofErr w:type="spellEnd"/>
      <w:r w:rsidRPr="00BE18F3">
        <w:rPr>
          <w:rFonts w:cs="Times New Roman"/>
        </w:rPr>
        <w:t xml:space="preserve"> 1994, Seite 185)</w:t>
      </w:r>
    </w:p>
    <w:p w:rsidR="00BE18F3" w:rsidRDefault="00BE18F3" w:rsidP="00BE18F3">
      <w:pPr>
        <w:jc w:val="both"/>
        <w:rPr>
          <w:rFonts w:cs="Times New Roman"/>
        </w:rPr>
      </w:pPr>
    </w:p>
    <w:p w:rsidR="00BE18F3" w:rsidRPr="00867C17" w:rsidRDefault="00BE18F3" w:rsidP="00BE18F3">
      <w:pPr>
        <w:jc w:val="both"/>
        <w:rPr>
          <w:rFonts w:cs="Times New Roman"/>
          <w:b/>
        </w:rPr>
      </w:pPr>
      <w:r w:rsidRPr="00867C17">
        <w:rPr>
          <w:rFonts w:cs="Times New Roman"/>
          <w:b/>
        </w:rPr>
        <w:t>Betriebsausflug/Betriebsfeier – Zeitpunkt</w:t>
      </w:r>
    </w:p>
    <w:p w:rsidR="00BE18F3" w:rsidRPr="00BE18F3" w:rsidRDefault="00BE18F3" w:rsidP="00BE18F3">
      <w:pPr>
        <w:jc w:val="both"/>
        <w:rPr>
          <w:rFonts w:cs="Times New Roman"/>
        </w:rPr>
      </w:pPr>
      <w:r w:rsidRPr="00BE18F3">
        <w:rPr>
          <w:rFonts w:cs="Times New Roman"/>
        </w:rPr>
        <w:t>Der Arbeitgeber ist nicht verpflichtet, während der Arbeitszeit Betriebsausflüge/Betriebsfeiern zu organisieren. Für Arbeitnehmer besteht keine Pflicht, an solchen Veranstaltungen teilzunehmen.</w:t>
      </w:r>
    </w:p>
    <w:p w:rsidR="00BE18F3" w:rsidRPr="00BE18F3" w:rsidRDefault="00BE18F3" w:rsidP="00BE18F3">
      <w:pPr>
        <w:jc w:val="both"/>
        <w:rPr>
          <w:rFonts w:cs="Times New Roman"/>
        </w:rPr>
      </w:pPr>
      <w:r w:rsidRPr="00BE18F3">
        <w:rPr>
          <w:rFonts w:cs="Times New Roman"/>
        </w:rPr>
        <w:t>Bei Nichtteilnahme muss der Arbeitnehmer dann aber seine übliche oder eine andere zumutbare Arbeitsleistung im Betrieb erbringen.</w:t>
      </w:r>
    </w:p>
    <w:p w:rsidR="00BE18F3" w:rsidRPr="00BE18F3" w:rsidRDefault="00BE18F3" w:rsidP="00BE18F3">
      <w:pPr>
        <w:jc w:val="both"/>
        <w:rPr>
          <w:rFonts w:cs="Times New Roman"/>
        </w:rPr>
      </w:pPr>
      <w:r w:rsidRPr="00BE18F3">
        <w:rPr>
          <w:rFonts w:cs="Times New Roman"/>
        </w:rPr>
        <w:t xml:space="preserve">(LAG München vom 20.03.1997 - 4 </w:t>
      </w:r>
      <w:proofErr w:type="spellStart"/>
      <w:r w:rsidRPr="00BE18F3">
        <w:rPr>
          <w:rFonts w:cs="Times New Roman"/>
        </w:rPr>
        <w:t>TaBV</w:t>
      </w:r>
      <w:proofErr w:type="spellEnd"/>
      <w:r w:rsidRPr="00BE18F3">
        <w:rPr>
          <w:rFonts w:cs="Times New Roman"/>
        </w:rPr>
        <w:t xml:space="preserve"> 12/96 -)</w:t>
      </w:r>
    </w:p>
    <w:p w:rsidR="00BE18F3" w:rsidRDefault="00BE18F3" w:rsidP="00BE18F3">
      <w:pPr>
        <w:jc w:val="both"/>
        <w:rPr>
          <w:rFonts w:cs="Times New Roman"/>
        </w:rPr>
      </w:pPr>
    </w:p>
    <w:p w:rsidR="00BE18F3" w:rsidRPr="00867C17" w:rsidRDefault="00BE18F3" w:rsidP="00BE18F3">
      <w:pPr>
        <w:jc w:val="both"/>
        <w:rPr>
          <w:rFonts w:cs="Times New Roman"/>
          <w:b/>
        </w:rPr>
      </w:pPr>
      <w:r w:rsidRPr="00867C17">
        <w:rPr>
          <w:rFonts w:cs="Times New Roman"/>
          <w:b/>
        </w:rPr>
        <w:t>Mitbestimmung bei Zeitgutschrift für Betriebsausflug</w:t>
      </w:r>
    </w:p>
    <w:p w:rsidR="00BE18F3" w:rsidRPr="00BE18F3" w:rsidRDefault="00BE18F3" w:rsidP="00BE18F3">
      <w:pPr>
        <w:jc w:val="both"/>
        <w:rPr>
          <w:rFonts w:cs="Times New Roman"/>
        </w:rPr>
      </w:pPr>
      <w:r w:rsidRPr="00BE18F3">
        <w:rPr>
          <w:rFonts w:cs="Times New Roman"/>
        </w:rPr>
        <w:t>1.</w:t>
      </w:r>
      <w:r w:rsidRPr="00BE18F3">
        <w:rPr>
          <w:rFonts w:cs="Times New Roman"/>
        </w:rPr>
        <w:tab/>
        <w:t>Ein Betriebsausflug ist keine Sozialeinrichtung im Sinne des § 87 Abs. 1 Nr. 8 BetrVG.</w:t>
      </w:r>
      <w:r w:rsidRPr="00BE18F3">
        <w:rPr>
          <w:rFonts w:cs="Times New Roman"/>
        </w:rPr>
        <w:cr/>
      </w:r>
    </w:p>
    <w:p w:rsidR="00BE18F3" w:rsidRPr="00BE18F3" w:rsidRDefault="00BE18F3" w:rsidP="00BE18F3">
      <w:pPr>
        <w:jc w:val="both"/>
        <w:rPr>
          <w:rFonts w:cs="Times New Roman"/>
        </w:rPr>
      </w:pPr>
      <w:r w:rsidRPr="00BE18F3">
        <w:rPr>
          <w:rFonts w:cs="Times New Roman"/>
        </w:rPr>
        <w:t>2.</w:t>
      </w:r>
      <w:r w:rsidRPr="00BE18F3">
        <w:rPr>
          <w:rFonts w:cs="Times New Roman"/>
        </w:rPr>
        <w:tab/>
        <w:t>Besteht im Betrieb ein System der gleitenden Arbeitszeit, in dessen Rahmen die Arbeitnehmer freie Tage ansparen können, so besteht kein Mitbestimmungsrecht nach § 87 Abs. 1 Nr. 2 oder Nr. 3 BetrVG hinsichtlich des durch die Teilnahme an einem Betriebsausflug bedingten und möglicherweise durch Vor- oder Nacharbeit auszugleichenden Arbeitsausfalls.</w:t>
      </w:r>
    </w:p>
    <w:p w:rsidR="00BE18F3" w:rsidRPr="00BE18F3" w:rsidRDefault="00BE18F3" w:rsidP="00BE18F3">
      <w:pPr>
        <w:jc w:val="both"/>
        <w:rPr>
          <w:rFonts w:cs="Times New Roman"/>
        </w:rPr>
      </w:pPr>
      <w:r w:rsidRPr="00BE18F3">
        <w:rPr>
          <w:rFonts w:cs="Times New Roman"/>
        </w:rPr>
        <w:lastRenderedPageBreak/>
        <w:t>3.</w:t>
      </w:r>
      <w:r w:rsidRPr="00BE18F3">
        <w:rPr>
          <w:rFonts w:cs="Times New Roman"/>
        </w:rPr>
        <w:tab/>
        <w:t>Will der Arbeitgeber die Regelung über eine Zeitgutschrift ändern, so kann ausnahmsweise unter dem Gesichtspunkt der betrieblichen Lohngestaltung ein Mitbestimmungsrecht nach § 87 Abs. 1 Nr. 10 BetrVG in Betracht kommen, wenn mit der Gutschrift der Zweck einer Erfolgsprämie verfolgt wird.</w:t>
      </w:r>
    </w:p>
    <w:p w:rsidR="00BE18F3" w:rsidRPr="00BE18F3" w:rsidRDefault="00BE18F3" w:rsidP="00BE18F3">
      <w:pPr>
        <w:jc w:val="both"/>
        <w:rPr>
          <w:rFonts w:cs="Times New Roman"/>
        </w:rPr>
      </w:pPr>
      <w:r w:rsidRPr="00BE18F3">
        <w:rPr>
          <w:rFonts w:cs="Times New Roman"/>
        </w:rPr>
        <w:t>(BAG vom 27.01.1998 - Az:1 ABR 35/97 -)</w:t>
      </w:r>
    </w:p>
    <w:p w:rsidR="00BE18F3" w:rsidRDefault="00BE18F3" w:rsidP="00BE18F3">
      <w:pPr>
        <w:jc w:val="both"/>
        <w:rPr>
          <w:rFonts w:cs="Times New Roman"/>
        </w:rPr>
      </w:pPr>
    </w:p>
    <w:p w:rsidR="00BE18F3" w:rsidRPr="00867C17" w:rsidRDefault="00BE18F3" w:rsidP="00BE18F3">
      <w:pPr>
        <w:jc w:val="both"/>
        <w:rPr>
          <w:rFonts w:cs="Times New Roman"/>
          <w:b/>
        </w:rPr>
      </w:pPr>
      <w:r w:rsidRPr="00867C17">
        <w:rPr>
          <w:rFonts w:cs="Times New Roman"/>
          <w:b/>
        </w:rPr>
        <w:t>Unfallversicherung bei einem Fußballturnier</w:t>
      </w:r>
    </w:p>
    <w:p w:rsidR="00BE18F3" w:rsidRPr="00BE18F3" w:rsidRDefault="00BE18F3" w:rsidP="00BE18F3">
      <w:pPr>
        <w:jc w:val="both"/>
        <w:rPr>
          <w:rFonts w:cs="Times New Roman"/>
        </w:rPr>
      </w:pPr>
      <w:r w:rsidRPr="00BE18F3">
        <w:rPr>
          <w:rFonts w:cs="Times New Roman"/>
        </w:rPr>
        <w:t>Ein Fußballturnier kann u.U. die Merkmale einer betrieblichen Gemeinschaftsveranstaltung aufweisen. Dies ist aber nur der Fall, wenn das Turnier in eine Veranstaltung eingebettet ist, die die gesamte Belegschaft des Unternehmens oder der betreffenden Niederlassung ansprechen und über den Kreis der Fußballinteressierten hinaus die Verbundenheit aller Mitarbeiter untereinander und mit der Betriebsleistung stärken soll. Das Unter-nehmen hat es nicht in der Hand, den Versicherungsschutz auf Unternehmungen zur Freizeitgestaltung oder zur Befriedigung sportlicher oder kultureller Interessen der Belegschaft zu erweitern. Solche Aktivitäten unterliegen auch dann nicht der Versicherung, wenn sie im räumlichen und zeitlichen Zusammenhang mit der Betriebstätig-</w:t>
      </w:r>
      <w:proofErr w:type="spellStart"/>
      <w:r w:rsidRPr="00BE18F3">
        <w:rPr>
          <w:rFonts w:cs="Times New Roman"/>
        </w:rPr>
        <w:t>keit</w:t>
      </w:r>
      <w:proofErr w:type="spellEnd"/>
      <w:r w:rsidRPr="00BE18F3">
        <w:rPr>
          <w:rFonts w:cs="Times New Roman"/>
        </w:rPr>
        <w:t xml:space="preserve"> erfolgen und von dem Unternehmen gebilligt oder unterstützt werden.</w:t>
      </w:r>
    </w:p>
    <w:p w:rsidR="00BE18F3" w:rsidRPr="00BE18F3" w:rsidRDefault="00BE18F3" w:rsidP="00BE18F3">
      <w:pPr>
        <w:jc w:val="both"/>
        <w:rPr>
          <w:rFonts w:cs="Times New Roman"/>
        </w:rPr>
      </w:pPr>
      <w:r w:rsidRPr="00BE18F3">
        <w:rPr>
          <w:rFonts w:cs="Times New Roman"/>
        </w:rPr>
        <w:t xml:space="preserve">(BSG vom 07.12.2004 - </w:t>
      </w:r>
      <w:proofErr w:type="spellStart"/>
      <w:r w:rsidRPr="00BE18F3">
        <w:rPr>
          <w:rFonts w:cs="Times New Roman"/>
        </w:rPr>
        <w:t>Az</w:t>
      </w:r>
      <w:proofErr w:type="spellEnd"/>
      <w:r w:rsidRPr="00BE18F3">
        <w:rPr>
          <w:rFonts w:cs="Times New Roman"/>
        </w:rPr>
        <w:t xml:space="preserve">: B 2 U 47/03 R -; in: </w:t>
      </w:r>
      <w:proofErr w:type="spellStart"/>
      <w:r w:rsidRPr="00BE18F3">
        <w:rPr>
          <w:rFonts w:cs="Times New Roman"/>
        </w:rPr>
        <w:t>AuR</w:t>
      </w:r>
      <w:proofErr w:type="spellEnd"/>
      <w:r w:rsidRPr="00BE18F3">
        <w:rPr>
          <w:rFonts w:cs="Times New Roman"/>
        </w:rPr>
        <w:t xml:space="preserve"> 2005, Seite 239)</w:t>
      </w:r>
    </w:p>
    <w:p w:rsidR="00BE18F3" w:rsidRPr="00BE18F3" w:rsidRDefault="00BE18F3" w:rsidP="00BE3933">
      <w:pPr>
        <w:jc w:val="both"/>
        <w:rPr>
          <w:rFonts w:cs="Times New Roman"/>
        </w:rPr>
      </w:pPr>
    </w:p>
    <w:sectPr w:rsidR="00BE18F3" w:rsidRPr="00BE18F3"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C6A" w:rsidRDefault="00645C6A" w:rsidP="00645C6A">
      <w:pPr>
        <w:spacing w:after="0" w:line="240" w:lineRule="auto"/>
      </w:pPr>
      <w:r>
        <w:separator/>
      </w:r>
    </w:p>
  </w:endnote>
  <w:endnote w:type="continuationSeparator" w:id="0">
    <w:p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5B4314" w:rsidRDefault="008368C8" w:rsidP="008368C8">
    <w:pPr>
      <w:pStyle w:val="Fuzeile"/>
      <w:rPr>
        <w:b/>
        <w:color w:val="A6A6A6" w:themeColor="background1" w:themeShade="A6"/>
        <w:sz w:val="16"/>
        <w:szCs w:val="16"/>
      </w:rPr>
    </w:pPr>
    <w:r>
      <w:rPr>
        <w:b/>
        <w:noProof/>
        <w:color w:val="A6A6A6" w:themeColor="background1" w:themeShade="A6"/>
        <w:sz w:val="18"/>
        <w:szCs w:val="18"/>
        <w:lang w:eastAsia="de-DE"/>
      </w:rPr>
      <w:drawing>
        <wp:inline distT="0" distB="0" distL="0" distR="0">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8368C8">
      <w:rPr>
        <w:b/>
        <w:color w:val="A6A6A6" w:themeColor="background1" w:themeShade="A6"/>
        <w:sz w:val="18"/>
        <w:szCs w:val="18"/>
        <w:lang w:val="en-US"/>
      </w:rPr>
      <w:t xml:space="preserve">    </w:t>
    </w:r>
    <w:proofErr w:type="gramStart"/>
    <w:r w:rsidR="00EF6068" w:rsidRPr="008368C8">
      <w:rPr>
        <w:b/>
        <w:color w:val="A6A6A6" w:themeColor="background1" w:themeShade="A6"/>
        <w:sz w:val="16"/>
        <w:szCs w:val="16"/>
        <w:lang w:val="en-US"/>
      </w:rPr>
      <w:t>©  WEKA</w:t>
    </w:r>
    <w:proofErr w:type="gramEnd"/>
    <w:r w:rsidR="00EF6068" w:rsidRPr="008368C8">
      <w:rPr>
        <w:b/>
        <w:color w:val="A6A6A6" w:themeColor="background1" w:themeShade="A6"/>
        <w:sz w:val="16"/>
        <w:szCs w:val="16"/>
        <w:lang w:val="en-US"/>
      </w:rPr>
      <w:t xml:space="preserve"> MEDIA GmbH &amp; Co. </w:t>
    </w:r>
    <w:r w:rsidR="00EF6068" w:rsidRPr="007846B2">
      <w:rPr>
        <w:b/>
        <w:color w:val="A6A6A6" w:themeColor="background1" w:themeShade="A6"/>
        <w:sz w:val="16"/>
        <w:szCs w:val="16"/>
      </w:rPr>
      <w:t xml:space="preserve">KG | </w:t>
    </w:r>
    <w:r w:rsidR="00B76DD1">
      <w:rPr>
        <w:b/>
        <w:color w:val="A6A6A6" w:themeColor="background1" w:themeShade="A6"/>
        <w:sz w:val="16"/>
        <w:szCs w:val="16"/>
      </w:rPr>
      <w:t>Mai</w:t>
    </w:r>
    <w:r w:rsidR="00CD4983">
      <w:rPr>
        <w:b/>
        <w:color w:val="A6A6A6" w:themeColor="background1" w:themeShade="A6"/>
        <w:sz w:val="16"/>
        <w:szCs w:val="16"/>
      </w:rPr>
      <w:t xml:space="preserve"> 201</w:t>
    </w:r>
    <w:r w:rsidR="005B4314">
      <w:rPr>
        <w:b/>
        <w:color w:val="A6A6A6" w:themeColor="background1" w:themeShade="A6"/>
        <w:sz w:val="16"/>
        <w:szCs w:val="16"/>
      </w:rPr>
      <w:t>9</w:t>
    </w:r>
    <w:r w:rsidR="00645C6A" w:rsidRPr="007846B2">
      <w:rPr>
        <w:b/>
        <w:color w:val="A6A6A6" w:themeColor="background1" w:themeShade="A6"/>
        <w:sz w:val="16"/>
        <w:szCs w:val="16"/>
      </w:rPr>
      <w:t xml:space="preserve"> | </w:t>
    </w:r>
    <w:hyperlink r:id="rId2" w:history="1">
      <w:r w:rsidRPr="007846B2">
        <w:rPr>
          <w:rStyle w:val="Hyperlink"/>
          <w:b/>
          <w:sz w:val="16"/>
          <w:szCs w:val="16"/>
        </w:rPr>
        <w:t>www.betriebsrat-kompakt.de</w:t>
      </w:r>
    </w:hyperlink>
    <w:r w:rsidRPr="007846B2">
      <w:rPr>
        <w:b/>
        <w:color w:val="A6A6A6" w:themeColor="background1" w:themeShade="A6"/>
        <w:sz w:val="16"/>
        <w:szCs w:val="16"/>
      </w:rPr>
      <w:t xml:space="preserve"> | </w:t>
    </w:r>
    <w:hyperlink r:id="rId3" w:history="1">
      <w:r w:rsidRPr="007846B2">
        <w:rPr>
          <w:rStyle w:val="Hyperlink"/>
          <w:b/>
          <w:sz w:val="16"/>
          <w:szCs w:val="16"/>
        </w:rPr>
        <w:t>www.urteilsticker-betriebsrat.de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C6A" w:rsidRDefault="00645C6A" w:rsidP="00645C6A">
      <w:pPr>
        <w:spacing w:after="0" w:line="240" w:lineRule="auto"/>
      </w:pPr>
      <w:r>
        <w:separator/>
      </w:r>
    </w:p>
  </w:footnote>
  <w:footnote w:type="continuationSeparator" w:id="0">
    <w:p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E66085" w:rsidP="00E66085">
    <w:pPr>
      <w:pStyle w:val="Kopfzeile"/>
      <w:jc w:val="center"/>
    </w:pPr>
    <w:r>
      <w:rPr>
        <w:noProof/>
        <w:lang w:eastAsia="de-DE"/>
      </w:rPr>
      <w:drawing>
        <wp:inline distT="0" distB="0" distL="0" distR="0">
          <wp:extent cx="6121273" cy="599847"/>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ombi.png"/>
                  <pic:cNvPicPr/>
                </pic:nvPicPr>
                <pic:blipFill>
                  <a:blip r:embed="rId1">
                    <a:extLst>
                      <a:ext uri="{28A0092B-C50C-407E-A947-70E740481C1C}">
                        <a14:useLocalDpi xmlns:a14="http://schemas.microsoft.com/office/drawing/2010/main" val="0"/>
                      </a:ext>
                    </a:extLst>
                  </a:blip>
                  <a:stretch>
                    <a:fillRect/>
                  </a:stretch>
                </pic:blipFill>
                <pic:spPr>
                  <a:xfrm>
                    <a:off x="0" y="0"/>
                    <a:ext cx="6134792" cy="60117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CD015F"/>
    <w:multiLevelType w:val="hybridMultilevel"/>
    <w:tmpl w:val="6350565E"/>
    <w:lvl w:ilvl="0" w:tplc="F15E4B34">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7323583E"/>
    <w:multiLevelType w:val="hybridMultilevel"/>
    <w:tmpl w:val="864202C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1"/>
  <w:removePersonalInformation/>
  <w:removeDateAndTime/>
  <w:proofState w:spelling="clean" w:grammar="clean"/>
  <w:defaultTabStop w:val="708"/>
  <w:hyphenationZone w:val="425"/>
  <w:drawingGridHorizontalSpacing w:val="181"/>
  <w:drawingGridVerticalSpacing w:val="181"/>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04C23"/>
    <w:rsid w:val="000C1235"/>
    <w:rsid w:val="000F3088"/>
    <w:rsid w:val="00154639"/>
    <w:rsid w:val="001E0EAC"/>
    <w:rsid w:val="00332460"/>
    <w:rsid w:val="0043100C"/>
    <w:rsid w:val="004A7F42"/>
    <w:rsid w:val="004E4B9B"/>
    <w:rsid w:val="00513F44"/>
    <w:rsid w:val="005B4314"/>
    <w:rsid w:val="005B72E6"/>
    <w:rsid w:val="005C1193"/>
    <w:rsid w:val="005E2E83"/>
    <w:rsid w:val="0062183F"/>
    <w:rsid w:val="00645C6A"/>
    <w:rsid w:val="007846B2"/>
    <w:rsid w:val="007B14D4"/>
    <w:rsid w:val="007C20F8"/>
    <w:rsid w:val="008368C8"/>
    <w:rsid w:val="00867C17"/>
    <w:rsid w:val="008F1965"/>
    <w:rsid w:val="009D1ADA"/>
    <w:rsid w:val="009E0EB1"/>
    <w:rsid w:val="00A61090"/>
    <w:rsid w:val="00AB6068"/>
    <w:rsid w:val="00B444E9"/>
    <w:rsid w:val="00B76DD1"/>
    <w:rsid w:val="00BE18F3"/>
    <w:rsid w:val="00BE3933"/>
    <w:rsid w:val="00CC14C0"/>
    <w:rsid w:val="00CD4983"/>
    <w:rsid w:val="00D33CF9"/>
    <w:rsid w:val="00E14C60"/>
    <w:rsid w:val="00E66085"/>
    <w:rsid w:val="00EF60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file:///\\weka.intern\prod\Produktion\_Mit\i.b.m.%20Produkte\00105_Betriebsrat%20KOMPAKT\Webinare\2019\Mai_Betriebsfeiern\www.urteilsticker-betriebsrat.de" TargetMode="External"/><Relationship Id="rId2" Type="http://schemas.openxmlformats.org/officeDocument/2006/relationships/hyperlink" Target="http://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689</Words>
  <Characters>4344</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5023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2019-03-29T09:24:00Z</dcterms:created>
  <dcterms:modified xsi:type="dcterms:W3CDTF">2019-03-29T09:26:00Z</dcterms:modified>
</cp:coreProperties>
</file>