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9C10B5" w:rsidRPr="009C10B5" w:rsidRDefault="009C10B5" w:rsidP="009C10B5">
      <w:pPr>
        <w:jc w:val="both"/>
        <w:rPr>
          <w:rFonts w:cs="Times New Roman"/>
          <w:b/>
          <w:color w:val="943634" w:themeColor="accent2" w:themeShade="BF"/>
          <w:sz w:val="28"/>
          <w:szCs w:val="28"/>
        </w:rPr>
      </w:pPr>
      <w:r w:rsidRPr="009C10B5">
        <w:rPr>
          <w:rFonts w:cs="Times New Roman"/>
          <w:b/>
          <w:color w:val="943634" w:themeColor="accent2" w:themeShade="BF"/>
          <w:sz w:val="28"/>
          <w:szCs w:val="28"/>
        </w:rPr>
        <w:t>Betriebsübergang: Das Lager wird „</w:t>
      </w:r>
      <w:proofErr w:type="spellStart"/>
      <w:r w:rsidRPr="009C10B5">
        <w:rPr>
          <w:rFonts w:cs="Times New Roman"/>
          <w:b/>
          <w:color w:val="943634" w:themeColor="accent2" w:themeShade="BF"/>
          <w:sz w:val="28"/>
          <w:szCs w:val="28"/>
        </w:rPr>
        <w:t>outgesourct</w:t>
      </w:r>
      <w:proofErr w:type="spellEnd"/>
      <w:r w:rsidRPr="009C10B5">
        <w:rPr>
          <w:rFonts w:cs="Times New Roman"/>
          <w:b/>
          <w:color w:val="943634" w:themeColor="accent2" w:themeShade="BF"/>
          <w:sz w:val="28"/>
          <w:szCs w:val="28"/>
        </w:rPr>
        <w:t>“</w:t>
      </w:r>
    </w:p>
    <w:p w:rsidR="009C10B5" w:rsidRPr="009C10B5" w:rsidRDefault="009C10B5" w:rsidP="009C10B5">
      <w:pPr>
        <w:jc w:val="both"/>
        <w:rPr>
          <w:rFonts w:cs="Times New Roman"/>
          <w:b/>
          <w:color w:val="943634" w:themeColor="accent2" w:themeShade="BF"/>
          <w:sz w:val="28"/>
          <w:szCs w:val="28"/>
        </w:rPr>
      </w:pPr>
    </w:p>
    <w:p w:rsidR="009C10B5" w:rsidRPr="00014C10" w:rsidRDefault="009C10B5" w:rsidP="009C10B5">
      <w:pPr>
        <w:pStyle w:val="Zwischenberschrift2"/>
      </w:pPr>
      <w:bookmarkStart w:id="0" w:name="_GoBack"/>
      <w:bookmarkEnd w:id="0"/>
      <w:r w:rsidRPr="00014C10">
        <w:t>Einleitung</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 xml:space="preserve">Es hat sich längst herumgesprochen. Unser Lager wird </w:t>
      </w:r>
      <w:proofErr w:type="spellStart"/>
      <w:r w:rsidRPr="00014C10">
        <w:rPr>
          <w:sz w:val="22"/>
          <w:szCs w:val="22"/>
          <w:lang w:val="de-DE"/>
        </w:rPr>
        <w:t>outgesourct</w:t>
      </w:r>
      <w:proofErr w:type="spellEnd"/>
      <w:r w:rsidRPr="00014C10">
        <w:rPr>
          <w:sz w:val="22"/>
          <w:szCs w:val="22"/>
          <w:lang w:val="de-DE"/>
        </w:rPr>
        <w:t>. Sie werden zu Recht s</w:t>
      </w:r>
      <w:r w:rsidRPr="00014C10">
        <w:rPr>
          <w:sz w:val="22"/>
          <w:szCs w:val="22"/>
          <w:lang w:val="de-DE"/>
        </w:rPr>
        <w:t>a</w:t>
      </w:r>
      <w:r w:rsidRPr="00014C10">
        <w:rPr>
          <w:sz w:val="22"/>
          <w:szCs w:val="22"/>
          <w:lang w:val="de-DE"/>
        </w:rPr>
        <w:t>gen: „Jetzt spricht der auch noch denglisch.“ Ich habe im Lexikon nachgeschaut: Outsourcing ist ein Kunstbegriff, der sich aus „outside“,„</w:t>
      </w:r>
      <w:proofErr w:type="spellStart"/>
      <w:r w:rsidRPr="00014C10">
        <w:rPr>
          <w:sz w:val="22"/>
          <w:szCs w:val="22"/>
          <w:lang w:val="de-DE"/>
        </w:rPr>
        <w:t>resource</w:t>
      </w:r>
      <w:proofErr w:type="spellEnd"/>
      <w:r w:rsidRPr="00014C10">
        <w:rPr>
          <w:sz w:val="22"/>
          <w:szCs w:val="22"/>
          <w:lang w:val="de-DE"/>
        </w:rPr>
        <w:t>“ und „</w:t>
      </w:r>
      <w:proofErr w:type="spellStart"/>
      <w:r w:rsidRPr="00014C10">
        <w:rPr>
          <w:sz w:val="22"/>
          <w:szCs w:val="22"/>
          <w:lang w:val="de-DE"/>
        </w:rPr>
        <w:t>using</w:t>
      </w:r>
      <w:proofErr w:type="spellEnd"/>
      <w:r w:rsidRPr="00014C10">
        <w:rPr>
          <w:sz w:val="22"/>
          <w:szCs w:val="22"/>
          <w:lang w:val="de-DE"/>
        </w:rPr>
        <w:t>“ zusammensetzt, also wörtlich übersetzt „externe Quellennutzung“ bedeutet. Das heißt nichts anderes als Auslagerung von Unternehmensaufgaben und -strukturen an Drittunternehmen. Noch konkreter: Unsere G</w:t>
      </w:r>
      <w:r w:rsidRPr="00014C10">
        <w:rPr>
          <w:sz w:val="22"/>
          <w:szCs w:val="22"/>
          <w:lang w:val="de-DE"/>
        </w:rPr>
        <w:t>e</w:t>
      </w:r>
      <w:r w:rsidRPr="00014C10">
        <w:rPr>
          <w:sz w:val="22"/>
          <w:szCs w:val="22"/>
          <w:lang w:val="de-DE"/>
        </w:rPr>
        <w:t>schäftsführung beabsichtigt, den gesamten Lagerbereich an ein Logistikunternehmen zu ve</w:t>
      </w:r>
      <w:r w:rsidRPr="00014C10">
        <w:rPr>
          <w:sz w:val="22"/>
          <w:szCs w:val="22"/>
          <w:lang w:val="de-DE"/>
        </w:rPr>
        <w:t>r</w:t>
      </w:r>
      <w:r w:rsidRPr="00014C10">
        <w:rPr>
          <w:sz w:val="22"/>
          <w:szCs w:val="22"/>
          <w:lang w:val="de-DE"/>
        </w:rPr>
        <w:t>kaufen. Diese Firma wird dann die Aufgaben der Warenannahme, der Lagerhaltung und des Warenversands für unseren Betrieb in eigener Regie übernehmen. Die Geschäftsführung b</w:t>
      </w:r>
      <w:r w:rsidRPr="00014C10">
        <w:rPr>
          <w:sz w:val="22"/>
          <w:szCs w:val="22"/>
          <w:lang w:val="de-DE"/>
        </w:rPr>
        <w:t>e</w:t>
      </w:r>
      <w:r w:rsidRPr="00014C10">
        <w:rPr>
          <w:sz w:val="22"/>
          <w:szCs w:val="22"/>
          <w:lang w:val="de-DE"/>
        </w:rPr>
        <w:t xml:space="preserve">gründet die Maßnahme mit der Notwendigkeit, das Unternehmen zu </w:t>
      </w:r>
      <w:proofErr w:type="spellStart"/>
      <w:r w:rsidRPr="00014C10">
        <w:rPr>
          <w:sz w:val="22"/>
          <w:szCs w:val="22"/>
          <w:lang w:val="de-DE"/>
        </w:rPr>
        <w:t>restrukturieren</w:t>
      </w:r>
      <w:proofErr w:type="spellEnd"/>
      <w:r w:rsidRPr="00014C10">
        <w:rPr>
          <w:sz w:val="22"/>
          <w:szCs w:val="22"/>
          <w:lang w:val="de-DE"/>
        </w:rPr>
        <w:t xml:space="preserve">. Man darf gespannt sein, was sonst noch </w:t>
      </w:r>
      <w:proofErr w:type="spellStart"/>
      <w:r w:rsidRPr="00014C10">
        <w:rPr>
          <w:sz w:val="22"/>
          <w:szCs w:val="22"/>
          <w:lang w:val="de-DE"/>
        </w:rPr>
        <w:t>restrukturiert</w:t>
      </w:r>
      <w:proofErr w:type="spellEnd"/>
      <w:r w:rsidRPr="00014C10">
        <w:rPr>
          <w:sz w:val="22"/>
          <w:szCs w:val="22"/>
          <w:lang w:val="de-DE"/>
        </w:rPr>
        <w:t xml:space="preserve"> werden muss.</w:t>
      </w:r>
    </w:p>
    <w:p w:rsidR="009C10B5"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Sowohl unser Arbeitgeber als auch der Käufer haben sich darauf geeinigt, dass der neue Inh</w:t>
      </w:r>
      <w:r w:rsidRPr="00014C10">
        <w:rPr>
          <w:sz w:val="22"/>
          <w:szCs w:val="22"/>
          <w:lang w:val="de-DE"/>
        </w:rPr>
        <w:t>a</w:t>
      </w:r>
      <w:r w:rsidRPr="00014C10">
        <w:rPr>
          <w:sz w:val="22"/>
          <w:szCs w:val="22"/>
          <w:lang w:val="de-DE"/>
        </w:rPr>
        <w:t>ber die Lagerräume anmietet. Die Einrichtung einschließlich Technik erwirbt er durch Kaufve</w:t>
      </w:r>
      <w:r w:rsidRPr="00014C10">
        <w:rPr>
          <w:sz w:val="22"/>
          <w:szCs w:val="22"/>
          <w:lang w:val="de-DE"/>
        </w:rPr>
        <w:t>r</w:t>
      </w:r>
      <w:r w:rsidRPr="00014C10">
        <w:rPr>
          <w:sz w:val="22"/>
          <w:szCs w:val="22"/>
          <w:lang w:val="de-DE"/>
        </w:rPr>
        <w:t>trag. Er bietet an, alle im Lagerbereich Beschäftigten zu übernehmen. Da der Betriebsteil W</w:t>
      </w:r>
      <w:r w:rsidRPr="00014C10">
        <w:rPr>
          <w:sz w:val="22"/>
          <w:szCs w:val="22"/>
          <w:lang w:val="de-DE"/>
        </w:rPr>
        <w:t>a</w:t>
      </w:r>
      <w:r w:rsidRPr="00014C10">
        <w:rPr>
          <w:sz w:val="22"/>
          <w:szCs w:val="22"/>
          <w:lang w:val="de-DE"/>
        </w:rPr>
        <w:t xml:space="preserve">renlager beim Inhaberwechsel so bestehen bleibt wie bisher (behält Identität bei), handelt es sich aus arbeitsrechtlicher Sicht um einen so genannten Betriebsübergang. Was das für die betroffenen Kollegen zur Folge hat, möchte ich in den folgenden Ausführungen erläutern. </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p>
    <w:p w:rsidR="009C10B5" w:rsidRPr="00014C10" w:rsidRDefault="009C10B5" w:rsidP="009C10B5">
      <w:pPr>
        <w:pStyle w:val="Zwischenberschrift2"/>
      </w:pPr>
      <w:r w:rsidRPr="00014C10">
        <w:t xml:space="preserve">Hauptteil </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Die Rechte und Pflichten sind im Bürgerlichen Gesetzbuch (§ 613a) geregelt. Die zum Zeitpunkt des Übergangs bestehenden Rechte und Pflichten, die sich aus dem Arbeitsverhältnis ergeben, gehen automatisch auf den Erwerber über. Tarifverträge und Betriebsvereinbarungen, die im bisherigen Betrieb gelten, wirken nach dem Betriebsübergang als arbeitsvertragliche Regelu</w:t>
      </w:r>
      <w:r w:rsidRPr="00014C10">
        <w:rPr>
          <w:sz w:val="22"/>
          <w:szCs w:val="22"/>
          <w:lang w:val="de-DE"/>
        </w:rPr>
        <w:t>n</w:t>
      </w:r>
      <w:r w:rsidRPr="00014C10">
        <w:rPr>
          <w:sz w:val="22"/>
          <w:szCs w:val="22"/>
          <w:lang w:val="de-DE"/>
        </w:rPr>
        <w:t>gen zwischen dem neuen Inhaber und den Arbeitnehmern weiter. Sie dürfen nicht vor Ablauf eines Jahres zum Nachteil der Arbeitnehmer verändert werden (§ 613a Abs. 1 BGB). Das heißt z.B., dass die Arbeitszeitregelungen, wie sie in unserer jetzigen Betriebsvereinbarung festgelegt sind, ein Jahr lang nicht verändert werden dürfen. Es sei denn, es würde ein Angebot gemacht, das günstiger ist. Rechte und Pflichten aus bisherigen Tarifverträgen und Betriebsvereinbaru</w:t>
      </w:r>
      <w:r w:rsidRPr="00014C10">
        <w:rPr>
          <w:sz w:val="22"/>
          <w:szCs w:val="22"/>
          <w:lang w:val="de-DE"/>
        </w:rPr>
        <w:t>n</w:t>
      </w:r>
      <w:r w:rsidRPr="00014C10">
        <w:rPr>
          <w:sz w:val="22"/>
          <w:szCs w:val="22"/>
          <w:lang w:val="de-DE"/>
        </w:rPr>
        <w:t xml:space="preserve">gen werden allerdings dann nicht übertragen, wenn bei dem neuen Inhaber Tarifverträge und Betriebsvereinbarungen bestehen, die die gleichen Sachverhalte regeln (§ 613a Abs. 1 Satz 3 BGB). Der bisherige Arbeitgeber haftet neben dem neuen Inhaber für diese Verpflichtungen, soweit sie vor dem Zeitpunkt des Übergangs entstanden sind und vor Ablauf von einem Jahr nach diesem Zeitpunkt fällig werden, als Gesamtschuldner. Das heißt, der Arbeitnehmer kann sich aussuchen, an wen er sich wendet, wenn er Ansprüche geltend machen will. </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lastRenderedPageBreak/>
        <w:t>Die Kündigung eines Arbeitnehmers durch den bisherigen Arbeitgeber oder durch den neuen Inhaber aus Anlass des Übergangs eines Betriebsteils ist unwirksam. Die Kündigung des A</w:t>
      </w:r>
      <w:r w:rsidRPr="00014C10">
        <w:rPr>
          <w:sz w:val="22"/>
          <w:szCs w:val="22"/>
          <w:lang w:val="de-DE"/>
        </w:rPr>
        <w:t>r</w:t>
      </w:r>
      <w:r w:rsidRPr="00014C10">
        <w:rPr>
          <w:sz w:val="22"/>
          <w:szCs w:val="22"/>
          <w:lang w:val="de-DE"/>
        </w:rPr>
        <w:t>beitsverhältnisses aus anderen Gründen ist jedoch weiterhin möglich (§ 613a Abs. 4 BGB). So hat das Bundesarbeitsgericht festgestellt, dass eine Kündigung wegen des Betriebsübergangs nicht vorliegt, wenn sie der Verkleinerung des Betriebs zur Verbesserung der Verkaufschancen dient (BAG v. 18.7.1996 – 8 AZR 127/94).</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Der bisherige Arbeitgeber oder der neue Inhaber haben nach Absprache vor dem Übergang die von dem Übergang betroffenen Arbeitnehmer in Textform über den Zeitpunkt oder den gepla</w:t>
      </w:r>
      <w:r w:rsidRPr="00014C10">
        <w:rPr>
          <w:sz w:val="22"/>
          <w:szCs w:val="22"/>
          <w:lang w:val="de-DE"/>
        </w:rPr>
        <w:t>n</w:t>
      </w:r>
      <w:r w:rsidRPr="00014C10">
        <w:rPr>
          <w:sz w:val="22"/>
          <w:szCs w:val="22"/>
          <w:lang w:val="de-DE"/>
        </w:rPr>
        <w:t>ten Zeitpunkt des Übergangs zu unterrichten. Es können auch beide die Betroffenen informi</w:t>
      </w:r>
      <w:r w:rsidRPr="00014C10">
        <w:rPr>
          <w:sz w:val="22"/>
          <w:szCs w:val="22"/>
          <w:lang w:val="de-DE"/>
        </w:rPr>
        <w:t>e</w:t>
      </w:r>
      <w:r w:rsidRPr="00014C10">
        <w:rPr>
          <w:sz w:val="22"/>
          <w:szCs w:val="22"/>
          <w:lang w:val="de-DE"/>
        </w:rPr>
        <w:t>ren. Die Unterrichtung dient dazu, den betroffenen Arbeitnehmern eine ausreichende Wissen</w:t>
      </w:r>
      <w:r w:rsidRPr="00014C10">
        <w:rPr>
          <w:sz w:val="22"/>
          <w:szCs w:val="22"/>
          <w:lang w:val="de-DE"/>
        </w:rPr>
        <w:t>s</w:t>
      </w:r>
      <w:r w:rsidRPr="00014C10">
        <w:rPr>
          <w:sz w:val="22"/>
          <w:szCs w:val="22"/>
          <w:lang w:val="de-DE"/>
        </w:rPr>
        <w:t>grundlage für die Ausübung ihres Rechts auf Widerspruch gegen den Übergang des Arbeit</w:t>
      </w:r>
      <w:r w:rsidRPr="00014C10">
        <w:rPr>
          <w:sz w:val="22"/>
          <w:szCs w:val="22"/>
          <w:lang w:val="de-DE"/>
        </w:rPr>
        <w:t>s</w:t>
      </w:r>
      <w:r w:rsidRPr="00014C10">
        <w:rPr>
          <w:sz w:val="22"/>
          <w:szCs w:val="22"/>
          <w:lang w:val="de-DE"/>
        </w:rPr>
        <w:t>verhältnisses zu geben. Das Informationsschreiben muss den Zeitpunkt oder geplanten Zei</w:t>
      </w:r>
      <w:r w:rsidRPr="00014C10">
        <w:rPr>
          <w:sz w:val="22"/>
          <w:szCs w:val="22"/>
          <w:lang w:val="de-DE"/>
        </w:rPr>
        <w:t>t</w:t>
      </w:r>
      <w:r w:rsidRPr="00014C10">
        <w:rPr>
          <w:sz w:val="22"/>
          <w:szCs w:val="22"/>
          <w:lang w:val="de-DE"/>
        </w:rPr>
        <w:t>punkt und den Grund für den Übergang enthalten. Weiterhin muss der Arbeitnehmer auf die rechtlichen, wirtschaftlichen und sozialen Auswirkungen auf sein Rechte und Pflichten hing</w:t>
      </w:r>
      <w:r w:rsidRPr="00014C10">
        <w:rPr>
          <w:sz w:val="22"/>
          <w:szCs w:val="22"/>
          <w:lang w:val="de-DE"/>
        </w:rPr>
        <w:t>e</w:t>
      </w:r>
      <w:r w:rsidRPr="00014C10">
        <w:rPr>
          <w:sz w:val="22"/>
          <w:szCs w:val="22"/>
          <w:lang w:val="de-DE"/>
        </w:rPr>
        <w:t>wiesen werden. Ferner ist er über die möglicherweise für ihn geplanten Maßnahmen (z.B. We</w:t>
      </w:r>
      <w:r w:rsidRPr="00014C10">
        <w:rPr>
          <w:sz w:val="22"/>
          <w:szCs w:val="22"/>
          <w:lang w:val="de-DE"/>
        </w:rPr>
        <w:t>i</w:t>
      </w:r>
      <w:r w:rsidRPr="00014C10">
        <w:rPr>
          <w:sz w:val="22"/>
          <w:szCs w:val="22"/>
          <w:lang w:val="de-DE"/>
        </w:rPr>
        <w:t>terbildungsmaßnahmen) zu unterrichten (§ 613a Abs. 5 BGB). Der Betriebserwerber ist so zu benennen, dass er für die Arbeitnehmer identifizierbar ist. Weiterhin muss ersichtlich sein, we</w:t>
      </w:r>
      <w:r w:rsidRPr="00014C10">
        <w:rPr>
          <w:sz w:val="22"/>
          <w:szCs w:val="22"/>
          <w:lang w:val="de-DE"/>
        </w:rPr>
        <w:t>l</w:t>
      </w:r>
      <w:r w:rsidRPr="00014C10">
        <w:rPr>
          <w:sz w:val="22"/>
          <w:szCs w:val="22"/>
          <w:lang w:val="de-DE"/>
        </w:rPr>
        <w:t xml:space="preserve">cher Betrieb oder Betriebsteil auf den Erwerber übergeht. Die Informationen müssen zutreffend sein. Erfolgt keine oder eine nicht ausreichende Unterrichtung, beginnt die Widerspruchsfrist nicht (BAG v. 13.7.2006 – 8 AZR 305/05). </w:t>
      </w:r>
    </w:p>
    <w:p w:rsidR="009C10B5"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Die betroffenen Arbeitnehmer können dem Übergang des Arbeitsverhältnisses innerhalb eines Monats nach Zugang der Unterrichtung schriftlich widersprechen. Der Widerspruch kann g</w:t>
      </w:r>
      <w:r w:rsidRPr="00014C10">
        <w:rPr>
          <w:sz w:val="22"/>
          <w:szCs w:val="22"/>
          <w:lang w:val="de-DE"/>
        </w:rPr>
        <w:t>e</w:t>
      </w:r>
      <w:r w:rsidRPr="00014C10">
        <w:rPr>
          <w:sz w:val="22"/>
          <w:szCs w:val="22"/>
          <w:lang w:val="de-DE"/>
        </w:rPr>
        <w:t>genüber dem bisherigen Arbeitgeber oder dem neuen Inhaber erklärt werden (§ 613a Abs. 6 BGB). Widerspricht ein Arbeitnehmer dem Betriebsübergang ordnungsgemäß, besteht sein Arbeitsverhältnis zum bisherigen Arbeitgeber weiter. Allerdings sollte jeder, der dem Wechsel seines Arbeitsverhältnisses widersprechen will, diesen Schritt reiflich überlegen. Das Risiko ist hoch, dass er aus betriebsbedingten Gründen gekündigt wird, weil für ihn im alten Betrieb keine Beschäftigungsmöglichkeit besteht. Eine solche betriebsbedingte Kündigung fällt nämlich nicht unter das Kündigungsverbot aus Anlass des Betriebsübergangs (§ 613a Abs. 4 Satz 2 BGB). Widerspricht ein Arbeitnehmer dem Übergang seines Arbeitsverhältnisses auf das neue Unte</w:t>
      </w:r>
      <w:r w:rsidRPr="00014C10">
        <w:rPr>
          <w:sz w:val="22"/>
          <w:szCs w:val="22"/>
          <w:lang w:val="de-DE"/>
        </w:rPr>
        <w:t>r</w:t>
      </w:r>
      <w:r w:rsidRPr="00014C10">
        <w:rPr>
          <w:sz w:val="22"/>
          <w:szCs w:val="22"/>
          <w:lang w:val="de-DE"/>
        </w:rPr>
        <w:t>nehmen oder lehnt er im neuen Betrieb einen zumutbaren Arbeitsplatz ab, kann er vom Sozia</w:t>
      </w:r>
      <w:r w:rsidRPr="00014C10">
        <w:rPr>
          <w:sz w:val="22"/>
          <w:szCs w:val="22"/>
          <w:lang w:val="de-DE"/>
        </w:rPr>
        <w:t>l</w:t>
      </w:r>
      <w:r w:rsidRPr="00014C10">
        <w:rPr>
          <w:sz w:val="22"/>
          <w:szCs w:val="22"/>
          <w:lang w:val="de-DE"/>
        </w:rPr>
        <w:t xml:space="preserve">plan seines bisherigen Betriebs ausgenommen werden (BAG v. 5.2.1997 – 10 AZR 535/96). </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p>
    <w:p w:rsidR="009C10B5" w:rsidRPr="00014C10" w:rsidRDefault="009C10B5" w:rsidP="009C10B5">
      <w:pPr>
        <w:pStyle w:val="Zwischenberschrift2"/>
      </w:pPr>
      <w:r w:rsidRPr="00014C10">
        <w:t>Schluss</w:t>
      </w:r>
    </w:p>
    <w:p w:rsidR="009C10B5"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Liebe Kolleginnen und Kollegen vom Warenlager, der Zeitpunkt des Betriebsübergangs soll nach Aussage der Geschäftsführung in den nächsten Wochen vereinbart werden. Dann müs</w:t>
      </w:r>
      <w:r w:rsidRPr="00014C10">
        <w:rPr>
          <w:sz w:val="22"/>
          <w:szCs w:val="22"/>
          <w:lang w:val="de-DE"/>
        </w:rPr>
        <w:t>s</w:t>
      </w:r>
      <w:r w:rsidRPr="00014C10">
        <w:rPr>
          <w:sz w:val="22"/>
          <w:szCs w:val="22"/>
          <w:lang w:val="de-DE"/>
        </w:rPr>
        <w:t xml:space="preserve">ten Sie unverzüglich unterrichtet werden. Wenn Sie dem Übergang Ihres Arbeitsverhältnisses innerhalb der Frist von vier Wochen nach Zugang der Unterrichtung nicht widersprechen, geht Ihr Arbeitsverhältnis auf den neuen Arbeitgeber über. Ausschlaggebend ist der Zeitpunkt der tatsächlichen Übernahme der Organisations- und Leitungsmacht durch den neuen Inhaber. Die Frist beginnt allerdings erst zu laufen, wenn die Unterrichtung vorschriftsmäßig ist. Wir bieten Ihnen an, zusammen mit Ihnen das Informationsschreiben zu prüfen, ob es den gesetzlichen Bestimmungen entspricht. Auch </w:t>
      </w:r>
      <w:r w:rsidRPr="00014C10">
        <w:rPr>
          <w:sz w:val="22"/>
          <w:szCs w:val="22"/>
          <w:lang w:val="de-DE"/>
        </w:rPr>
        <w:lastRenderedPageBreak/>
        <w:t>den Kolleginnen und Kollegen, die dem Übergang widerspr</w:t>
      </w:r>
      <w:r w:rsidRPr="00014C10">
        <w:rPr>
          <w:sz w:val="22"/>
          <w:szCs w:val="22"/>
          <w:lang w:val="de-DE"/>
        </w:rPr>
        <w:t>e</w:t>
      </w:r>
      <w:r w:rsidRPr="00014C10">
        <w:rPr>
          <w:sz w:val="22"/>
          <w:szCs w:val="22"/>
          <w:lang w:val="de-DE"/>
        </w:rPr>
        <w:t>chen wollen, stehen wir mit unserem Rat zur Verfügung. Sprechen Sie mit uns, um zu prüfen, ob es eine Chance gibt, in unserem Betrieb weiterbeschäftigt zu werden. Der Betriebsrat und auch ich selbst bedauern sehr, dass Sie durch die Entscheidung des Arbeitgebers aus der Betriebsgemeinschaft herausgerissen werden. Da Sie aber im Hause bleiben, werden die Ko</w:t>
      </w:r>
      <w:r w:rsidRPr="00014C10">
        <w:rPr>
          <w:sz w:val="22"/>
          <w:szCs w:val="22"/>
          <w:lang w:val="de-DE"/>
        </w:rPr>
        <w:t>n</w:t>
      </w:r>
      <w:r w:rsidRPr="00014C10">
        <w:rPr>
          <w:sz w:val="22"/>
          <w:szCs w:val="22"/>
          <w:lang w:val="de-DE"/>
        </w:rPr>
        <w:t>takte weiterhin bestehen bleiben.</w:t>
      </w: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p>
    <w:p w:rsidR="009C10B5" w:rsidRPr="00014C10" w:rsidRDefault="009C10B5" w:rsidP="009C10B5">
      <w:pPr>
        <w:pStyle w:val="Textblock"/>
        <w:tabs>
          <w:tab w:val="left" w:pos="425"/>
          <w:tab w:val="left" w:pos="851"/>
        </w:tabs>
        <w:spacing w:before="60" w:after="60" w:line="280" w:lineRule="exact"/>
        <w:ind w:right="0"/>
        <w:rPr>
          <w:sz w:val="22"/>
          <w:szCs w:val="22"/>
          <w:lang w:val="de-DE"/>
        </w:rPr>
      </w:pPr>
      <w:r w:rsidRPr="00014C10">
        <w:rPr>
          <w:sz w:val="22"/>
          <w:szCs w:val="22"/>
          <w:lang w:val="de-DE"/>
        </w:rPr>
        <w:t>Welche Fragen liegen Ihnen noch auf dem Herzen?</w:t>
      </w:r>
    </w:p>
    <w:p w:rsidR="009C10B5" w:rsidRPr="00014C10" w:rsidRDefault="009C10B5" w:rsidP="009C10B5"/>
    <w:sectPr w:rsidR="009C10B5" w:rsidRPr="00014C1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250" w:rsidRDefault="004E6250" w:rsidP="00645C6A">
      <w:pPr>
        <w:spacing w:after="0" w:line="240" w:lineRule="auto"/>
      </w:pPr>
      <w:r>
        <w:separator/>
      </w:r>
    </w:p>
  </w:endnote>
  <w:endnote w:type="continuationSeparator" w:id="0">
    <w:p w:rsidR="004E6250" w:rsidRDefault="004E625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9C10B5">
      <w:rPr>
        <w:b/>
        <w:color w:val="A6A6A6" w:themeColor="background1" w:themeShade="A6"/>
        <w:sz w:val="18"/>
        <w:szCs w:val="18"/>
      </w:rPr>
      <w:t>April</w:t>
    </w:r>
    <w:r w:rsidR="00DD50AE">
      <w:rPr>
        <w:b/>
        <w:color w:val="A6A6A6" w:themeColor="background1" w:themeShade="A6"/>
        <w:sz w:val="18"/>
        <w:szCs w:val="18"/>
      </w:rPr>
      <w:t xml:space="preserve">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250" w:rsidRDefault="004E6250" w:rsidP="00645C6A">
      <w:pPr>
        <w:spacing w:after="0" w:line="240" w:lineRule="auto"/>
      </w:pPr>
      <w:r>
        <w:separator/>
      </w:r>
    </w:p>
  </w:footnote>
  <w:footnote w:type="continuationSeparator" w:id="0">
    <w:p w:rsidR="004E6250" w:rsidRDefault="004E625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270A23B" wp14:editId="260C855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412F32"/>
    <w:rsid w:val="0043100C"/>
    <w:rsid w:val="004E4B9B"/>
    <w:rsid w:val="004E6250"/>
    <w:rsid w:val="005B72E6"/>
    <w:rsid w:val="005C1193"/>
    <w:rsid w:val="005E2E83"/>
    <w:rsid w:val="0062183F"/>
    <w:rsid w:val="00645C6A"/>
    <w:rsid w:val="00672AF0"/>
    <w:rsid w:val="007B028C"/>
    <w:rsid w:val="007B14D4"/>
    <w:rsid w:val="007C20F8"/>
    <w:rsid w:val="007D7D7B"/>
    <w:rsid w:val="008305EC"/>
    <w:rsid w:val="008F1965"/>
    <w:rsid w:val="00940FC6"/>
    <w:rsid w:val="009C10B5"/>
    <w:rsid w:val="009D1ADA"/>
    <w:rsid w:val="00A61090"/>
    <w:rsid w:val="00AB6068"/>
    <w:rsid w:val="00BE3933"/>
    <w:rsid w:val="00BE3948"/>
    <w:rsid w:val="00BF0F47"/>
    <w:rsid w:val="00CC14C0"/>
    <w:rsid w:val="00D33CF9"/>
    <w:rsid w:val="00DD50AE"/>
    <w:rsid w:val="00F37F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 w:type="paragraph" w:customStyle="1" w:styleId="Zwischenberschrift2">
    <w:name w:val="Zwischenüberschrift 2"/>
    <w:basedOn w:val="Textblock"/>
    <w:next w:val="Textblock"/>
    <w:autoRedefine/>
    <w:rsid w:val="009C10B5"/>
    <w:pPr>
      <w:tabs>
        <w:tab w:val="left" w:pos="425"/>
        <w:tab w:val="left" w:pos="851"/>
      </w:tabs>
      <w:spacing w:before="60" w:after="60" w:line="280" w:lineRule="exact"/>
      <w:ind w:right="0"/>
    </w:pPr>
    <w:rPr>
      <w:b/>
      <w:sz w:val="24"/>
      <w:lang w:val="de-DE"/>
    </w:rPr>
  </w:style>
  <w:style w:type="paragraph" w:customStyle="1" w:styleId="Textblock">
    <w:name w:val="Textblock"/>
    <w:link w:val="TextblockZchn"/>
    <w:autoRedefine/>
    <w:rsid w:val="009C10B5"/>
    <w:pPr>
      <w:spacing w:after="120" w:line="260" w:lineRule="exact"/>
      <w:ind w:right="2098"/>
      <w:outlineLvl w:val="3"/>
    </w:pPr>
    <w:rPr>
      <w:rFonts w:ascii="Arial" w:eastAsia="Times New Roman" w:hAnsi="Arial" w:cs="Times New Roman"/>
      <w:color w:val="000000"/>
      <w:sz w:val="20"/>
      <w:szCs w:val="24"/>
      <w:lang w:val="en-GB" w:eastAsia="de-DE"/>
    </w:rPr>
  </w:style>
  <w:style w:type="character" w:customStyle="1" w:styleId="TextblockZchn">
    <w:name w:val="Textblock Zchn"/>
    <w:basedOn w:val="Absatz-Standardschriftart"/>
    <w:link w:val="Textblock"/>
    <w:rsid w:val="009C10B5"/>
    <w:rPr>
      <w:rFonts w:ascii="Arial" w:eastAsia="Times New Roman" w:hAnsi="Arial" w:cs="Times New Roman"/>
      <w:color w:val="000000"/>
      <w:sz w:val="20"/>
      <w:szCs w:val="24"/>
      <w:lang w:val="en-GB"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 w:type="paragraph" w:customStyle="1" w:styleId="Zwischenberschrift2">
    <w:name w:val="Zwischenüberschrift 2"/>
    <w:basedOn w:val="Textblock"/>
    <w:next w:val="Textblock"/>
    <w:autoRedefine/>
    <w:rsid w:val="009C10B5"/>
    <w:pPr>
      <w:tabs>
        <w:tab w:val="left" w:pos="425"/>
        <w:tab w:val="left" w:pos="851"/>
      </w:tabs>
      <w:spacing w:before="60" w:after="60" w:line="280" w:lineRule="exact"/>
      <w:ind w:right="0"/>
    </w:pPr>
    <w:rPr>
      <w:b/>
      <w:sz w:val="24"/>
      <w:lang w:val="de-DE"/>
    </w:rPr>
  </w:style>
  <w:style w:type="paragraph" w:customStyle="1" w:styleId="Textblock">
    <w:name w:val="Textblock"/>
    <w:link w:val="TextblockZchn"/>
    <w:autoRedefine/>
    <w:rsid w:val="009C10B5"/>
    <w:pPr>
      <w:spacing w:after="120" w:line="260" w:lineRule="exact"/>
      <w:ind w:right="2098"/>
      <w:outlineLvl w:val="3"/>
    </w:pPr>
    <w:rPr>
      <w:rFonts w:ascii="Arial" w:eastAsia="Times New Roman" w:hAnsi="Arial" w:cs="Times New Roman"/>
      <w:color w:val="000000"/>
      <w:sz w:val="20"/>
      <w:szCs w:val="24"/>
      <w:lang w:val="en-GB" w:eastAsia="de-DE"/>
    </w:rPr>
  </w:style>
  <w:style w:type="character" w:customStyle="1" w:styleId="TextblockZchn">
    <w:name w:val="Textblock Zchn"/>
    <w:basedOn w:val="Absatz-Standardschriftart"/>
    <w:link w:val="Textblock"/>
    <w:rsid w:val="009C10B5"/>
    <w:rPr>
      <w:rFonts w:ascii="Arial" w:eastAsia="Times New Roman" w:hAnsi="Arial" w:cs="Times New Roman"/>
      <w:color w:val="000000"/>
      <w:sz w:val="20"/>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5954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2017-02-06T09:33:00Z</dcterms:created>
  <dcterms:modified xsi:type="dcterms:W3CDTF">2017-02-06T09:33:00Z</dcterms:modified>
</cp:coreProperties>
</file>