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2B1293" w:rsidRPr="00AC73AA" w:rsidRDefault="002B1293" w:rsidP="002B1293">
      <w:pPr>
        <w:tabs>
          <w:tab w:val="left" w:pos="6699"/>
        </w:tabs>
        <w:rPr>
          <w:b/>
          <w:i/>
        </w:rPr>
      </w:pPr>
      <w:r>
        <w:rPr>
          <w:b/>
          <w:i/>
        </w:rPr>
        <w:t>Checkliste: Vorgehensweise zum Abschluss einer BV über Ampelkonten</w:t>
      </w:r>
    </w:p>
    <w:p w:rsidR="002B1293" w:rsidRDefault="002B1293" w:rsidP="002B1293">
      <w:pPr>
        <w:tabs>
          <w:tab w:val="left" w:pos="6699"/>
        </w:tabs>
      </w:pPr>
    </w:p>
    <w:tbl>
      <w:tblPr>
        <w:tblW w:w="0" w:type="auto"/>
        <w:tblBorders>
          <w:top w:val="single" w:sz="6" w:space="0" w:color="E4E4E4"/>
          <w:left w:val="single" w:sz="6" w:space="0" w:color="E4E4E4"/>
          <w:bottom w:val="single" w:sz="6" w:space="0" w:color="E4E4E4"/>
          <w:right w:val="single" w:sz="6" w:space="0" w:color="E4E4E4"/>
        </w:tblBorders>
        <w:shd w:val="clear" w:color="auto" w:fill="FFFFFF"/>
        <w:tblLook w:val="04A0" w:firstRow="1" w:lastRow="0" w:firstColumn="1" w:lastColumn="0" w:noHBand="0" w:noVBand="1"/>
      </w:tblPr>
      <w:tblGrid>
        <w:gridCol w:w="3199"/>
        <w:gridCol w:w="5649"/>
        <w:gridCol w:w="524"/>
      </w:tblGrid>
      <w:tr w:rsidR="002B1293" w:rsidTr="00F874C0">
        <w:tc>
          <w:tcPr>
            <w:tcW w:w="0" w:type="auto"/>
            <w:tcBorders>
              <w:top w:val="single" w:sz="6" w:space="0" w:color="E4E4E4"/>
              <w:left w:val="single" w:sz="6" w:space="0" w:color="E4E4E4"/>
              <w:bottom w:val="single" w:sz="6" w:space="0" w:color="E4E4E4"/>
              <w:right w:val="single" w:sz="6" w:space="0" w:color="E4E4E4"/>
            </w:tcBorders>
            <w:shd w:val="clear" w:color="auto" w:fill="F1F1F1"/>
            <w:tcMar>
              <w:top w:w="120" w:type="dxa"/>
              <w:left w:w="150" w:type="dxa"/>
              <w:bottom w:w="120" w:type="dxa"/>
              <w:right w:w="150" w:type="dxa"/>
            </w:tcMar>
            <w:hideMark/>
          </w:tcPr>
          <w:p w:rsidR="002B1293" w:rsidRDefault="002B1293" w:rsidP="00F874C0">
            <w:pPr>
              <w:rPr>
                <w:rFonts w:ascii="Tahoma" w:hAnsi="Tahoma" w:cs="Tahoma"/>
                <w:b/>
                <w:bCs/>
                <w:color w:val="3C3C3C"/>
                <w:spacing w:val="2"/>
                <w:sz w:val="18"/>
                <w:szCs w:val="18"/>
              </w:rPr>
            </w:pPr>
            <w:r>
              <w:rPr>
                <w:rFonts w:ascii="Tahoma" w:hAnsi="Tahoma" w:cs="Tahoma"/>
                <w:b/>
                <w:bCs/>
                <w:color w:val="3C3C3C"/>
                <w:spacing w:val="2"/>
                <w:sz w:val="18"/>
                <w:szCs w:val="18"/>
              </w:rPr>
              <w:t>Voraussetzung</w:t>
            </w:r>
          </w:p>
        </w:tc>
        <w:tc>
          <w:tcPr>
            <w:tcW w:w="0" w:type="auto"/>
            <w:tcBorders>
              <w:top w:val="single" w:sz="6" w:space="0" w:color="E4E4E4"/>
              <w:left w:val="nil"/>
              <w:bottom w:val="single" w:sz="6" w:space="0" w:color="E4E4E4"/>
              <w:right w:val="single" w:sz="6" w:space="0" w:color="E4E4E4"/>
            </w:tcBorders>
            <w:shd w:val="clear" w:color="auto" w:fill="F1F1F1"/>
            <w:tcMar>
              <w:top w:w="120" w:type="dxa"/>
              <w:left w:w="150" w:type="dxa"/>
              <w:bottom w:w="120" w:type="dxa"/>
              <w:right w:w="150" w:type="dxa"/>
            </w:tcMar>
            <w:hideMark/>
          </w:tcPr>
          <w:p w:rsidR="002B1293" w:rsidRDefault="002B1293" w:rsidP="00F874C0">
            <w:pPr>
              <w:rPr>
                <w:rFonts w:ascii="Tahoma" w:hAnsi="Tahoma" w:cs="Tahoma"/>
                <w:b/>
                <w:bCs/>
                <w:color w:val="3C3C3C"/>
                <w:spacing w:val="2"/>
                <w:sz w:val="18"/>
                <w:szCs w:val="18"/>
              </w:rPr>
            </w:pPr>
            <w:r>
              <w:rPr>
                <w:rFonts w:ascii="Tahoma" w:hAnsi="Tahoma" w:cs="Tahoma"/>
                <w:b/>
                <w:bCs/>
                <w:color w:val="3C3C3C"/>
                <w:spacing w:val="2"/>
                <w:sz w:val="18"/>
                <w:szCs w:val="18"/>
              </w:rPr>
              <w:t>Erläuterung/Bemerkung</w:t>
            </w:r>
          </w:p>
        </w:tc>
        <w:tc>
          <w:tcPr>
            <w:tcW w:w="0" w:type="auto"/>
            <w:tcBorders>
              <w:top w:val="single" w:sz="6" w:space="0" w:color="E4E4E4"/>
              <w:left w:val="nil"/>
              <w:bottom w:val="single" w:sz="6" w:space="0" w:color="E4E4E4"/>
              <w:right w:val="single" w:sz="6" w:space="0" w:color="E4E4E4"/>
            </w:tcBorders>
            <w:shd w:val="clear" w:color="auto" w:fill="F1F1F1"/>
            <w:tcMar>
              <w:top w:w="120" w:type="dxa"/>
              <w:left w:w="150" w:type="dxa"/>
              <w:bottom w:w="120" w:type="dxa"/>
              <w:right w:w="150" w:type="dxa"/>
            </w:tcMar>
            <w:hideMark/>
          </w:tcPr>
          <w:p w:rsidR="002B1293" w:rsidRDefault="002B1293" w:rsidP="00F874C0">
            <w:pPr>
              <w:rPr>
                <w:rFonts w:ascii="Tahoma" w:hAnsi="Tahoma" w:cs="Tahoma"/>
                <w:b/>
                <w:bCs/>
                <w:color w:val="3C3C3C"/>
                <w:spacing w:val="2"/>
                <w:sz w:val="18"/>
                <w:szCs w:val="18"/>
              </w:rPr>
            </w:pPr>
            <w:r>
              <w:rPr>
                <w:rFonts w:ascii="Tahoma" w:hAnsi="Tahoma" w:cs="Tahoma"/>
                <w:b/>
                <w:bCs/>
                <w:color w:val="3C3C3C"/>
                <w:spacing w:val="2"/>
                <w:sz w:val="18"/>
                <w:szCs w:val="18"/>
              </w:rPr>
              <w:t>ok</w:t>
            </w:r>
          </w:p>
        </w:tc>
      </w:tr>
      <w:tr w:rsidR="002B1293" w:rsidTr="00F874C0">
        <w:tc>
          <w:tcPr>
            <w:tcW w:w="0" w:type="auto"/>
            <w:tcBorders>
              <w:top w:val="nil"/>
              <w:left w:val="single" w:sz="6" w:space="0" w:color="E4E4E4"/>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Handelt es sich um eine freiwillige oder erzwingbare Betriebsvereinbarung?</w:t>
            </w:r>
          </w:p>
        </w:tc>
        <w:tc>
          <w:tcPr>
            <w:tcW w:w="0" w:type="auto"/>
            <w:tcBorders>
              <w:top w:val="nil"/>
              <w:left w:val="nil"/>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(Ampel-)Arbeitszeitkonten betreffen regelmäßig die Frage der vorübergehenden Verkürzung oder Verlängerung der betriebsüblichen Arbeitszeit bzw. die Regelung der betriebsüblichen Arbeitszeit selbst. Daher sind diese Angelegenheiten von der erzwingbaren Mitbestimmung des Betriebsrats gemäß </w:t>
            </w:r>
            <w:hyperlink r:id="rId8" w:anchor="link?productid=PI26425&amp;docid=HI3150172&amp;anchor=SUB_HI3150172_absatz_1_nummer_2" w:tgtFrame="_self" w:history="1">
              <w:r>
                <w:rPr>
                  <w:rStyle w:val="Hyperlink"/>
                  <w:rFonts w:ascii="Tahoma" w:hAnsi="Tahoma" w:cs="Tahoma"/>
                  <w:color w:val="007BC4"/>
                  <w:spacing w:val="2"/>
                  <w:sz w:val="18"/>
                  <w:szCs w:val="18"/>
                </w:rPr>
                <w:t>§ 87 Abs. 1 Nr. 2</w:t>
              </w:r>
            </w:hyperlink>
            <w:r>
              <w:rPr>
                <w:rFonts w:ascii="Tahoma" w:hAnsi="Tahoma" w:cs="Tahoma"/>
                <w:color w:val="3C3C3C"/>
                <w:spacing w:val="2"/>
                <w:sz w:val="18"/>
                <w:szCs w:val="18"/>
              </w:rPr>
              <w:t> und </w:t>
            </w:r>
            <w:hyperlink r:id="rId9" w:anchor="link?productid=PI26425&amp;docid=HI3150172&amp;anchor=SUB_HI3150172_absatz_1_nummer_3" w:tgtFrame="_self" w:history="1">
              <w:r>
                <w:rPr>
                  <w:rStyle w:val="Hyperlink"/>
                  <w:rFonts w:ascii="Tahoma" w:hAnsi="Tahoma" w:cs="Tahoma"/>
                  <w:color w:val="007BC4"/>
                  <w:spacing w:val="2"/>
                  <w:sz w:val="18"/>
                  <w:szCs w:val="18"/>
                </w:rPr>
                <w:t>3 BetrVG</w:t>
              </w:r>
            </w:hyperlink>
            <w:r>
              <w:rPr>
                <w:rFonts w:ascii="Tahoma" w:hAnsi="Tahoma" w:cs="Tahoma"/>
                <w:color w:val="3C3C3C"/>
                <w:spacing w:val="2"/>
                <w:sz w:val="18"/>
                <w:szCs w:val="18"/>
              </w:rPr>
              <w:t> erfasst.</w:t>
            </w:r>
          </w:p>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Können sich die Betriebsparteien nicht einigen, kann jede Betriebspartei die Einigungsstelle anrufen. Der Spruch der Einigungsstelle ersetzt die Einigung der Betriebsparteien.</w:t>
            </w:r>
          </w:p>
        </w:tc>
        <w:tc>
          <w:tcPr>
            <w:tcW w:w="0" w:type="auto"/>
            <w:tcBorders>
              <w:top w:val="nil"/>
              <w:left w:val="nil"/>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w:t>
            </w:r>
          </w:p>
        </w:tc>
      </w:tr>
      <w:tr w:rsidR="002B1293" w:rsidTr="00F874C0">
        <w:tc>
          <w:tcPr>
            <w:tcW w:w="0" w:type="auto"/>
            <w:tcBorders>
              <w:top w:val="nil"/>
              <w:left w:val="single" w:sz="6" w:space="0" w:color="E4E4E4"/>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Prüfen Sie, ob der Tarifvorrang des </w:t>
            </w:r>
            <w:hyperlink r:id="rId10" w:anchor="link?productid=PI26425&amp;docid=HI3150172&amp;anchor=SUB_HI3150172_absatz_1" w:tgtFrame="_self" w:history="1">
              <w:r>
                <w:rPr>
                  <w:rStyle w:val="Hyperlink"/>
                  <w:rFonts w:ascii="Tahoma" w:hAnsi="Tahoma" w:cs="Tahoma"/>
                  <w:color w:val="007BC4"/>
                  <w:spacing w:val="2"/>
                  <w:sz w:val="18"/>
                  <w:szCs w:val="18"/>
                </w:rPr>
                <w:t>§ 87 Abs. 1 BetrVG</w:t>
              </w:r>
            </w:hyperlink>
            <w:r>
              <w:rPr>
                <w:rFonts w:ascii="Tahoma" w:hAnsi="Tahoma" w:cs="Tahoma"/>
                <w:color w:val="3C3C3C"/>
                <w:spacing w:val="2"/>
                <w:sz w:val="18"/>
                <w:szCs w:val="18"/>
              </w:rPr>
              <w:t> zu beachten ist.</w:t>
            </w:r>
          </w:p>
        </w:tc>
        <w:tc>
          <w:tcPr>
            <w:tcW w:w="0" w:type="auto"/>
            <w:tcBorders>
              <w:top w:val="nil"/>
              <w:left w:val="nil"/>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Häufig sind Fragen des Arbeitszeitkontos in Tarifverträgen geregelt, zumeist jedoch nicht abschließend. Soweit eine nicht abschließende Rahmenregelung in einem Tarifvertrag vorliegt, kann der Betriebsrat innerhalb des vorgegebenen Rahmens sein Mitbestimmungsrecht noch ausüben.</w:t>
            </w:r>
          </w:p>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Bloße Tarifüblichkeit schließt das Mitbestimmungsrecht des Betriebsrats nicht aus; ebenso ein nicht mehr zwingender Tarifvertrag.</w:t>
            </w:r>
          </w:p>
        </w:tc>
        <w:tc>
          <w:tcPr>
            <w:tcW w:w="0" w:type="auto"/>
            <w:tcBorders>
              <w:top w:val="nil"/>
              <w:left w:val="nil"/>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w:t>
            </w:r>
          </w:p>
        </w:tc>
      </w:tr>
      <w:tr w:rsidR="002B1293" w:rsidTr="00F874C0">
        <w:tc>
          <w:tcPr>
            <w:tcW w:w="0" w:type="auto"/>
            <w:tcBorders>
              <w:top w:val="nil"/>
              <w:left w:val="single" w:sz="6" w:space="0" w:color="E4E4E4"/>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Prüfen Sie, ob Koppelungsgeschäfte in Betracht kommen.</w:t>
            </w:r>
          </w:p>
        </w:tc>
        <w:tc>
          <w:tcPr>
            <w:tcW w:w="0" w:type="auto"/>
            <w:tcBorders>
              <w:top w:val="nil"/>
              <w:left w:val="nil"/>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In diesem Fall könnten Sie auch eine freiwillige Betriebsvereinbarung gegenüber dem Arbeitgeber durchsetzen.</w:t>
            </w:r>
          </w:p>
        </w:tc>
        <w:tc>
          <w:tcPr>
            <w:tcW w:w="0" w:type="auto"/>
            <w:tcBorders>
              <w:top w:val="nil"/>
              <w:left w:val="nil"/>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w:t>
            </w:r>
          </w:p>
        </w:tc>
      </w:tr>
      <w:tr w:rsidR="002B1293" w:rsidTr="00F874C0">
        <w:tc>
          <w:tcPr>
            <w:tcW w:w="0" w:type="auto"/>
            <w:tcBorders>
              <w:top w:val="nil"/>
              <w:left w:val="single" w:sz="6" w:space="0" w:color="E4E4E4"/>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Ist die Arbeitszeit in Ihrem Betrieb sehr ungleich über das Jahr verteilt? Wurde in der Vergangenheit häufig Kurzarbeit angeordnet?</w:t>
            </w:r>
          </w:p>
        </w:tc>
        <w:tc>
          <w:tcPr>
            <w:tcW w:w="0" w:type="auto"/>
            <w:tcBorders>
              <w:top w:val="nil"/>
              <w:left w:val="nil"/>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Dies wäre ein gutes Argument für den Abschluss einer Betriebsvereinbarung.</w:t>
            </w:r>
          </w:p>
        </w:tc>
        <w:tc>
          <w:tcPr>
            <w:tcW w:w="0" w:type="auto"/>
            <w:tcBorders>
              <w:top w:val="nil"/>
              <w:left w:val="nil"/>
              <w:bottom w:val="single" w:sz="6" w:space="0" w:color="E4E4E4"/>
              <w:right w:val="single" w:sz="6" w:space="0" w:color="E4E4E4"/>
            </w:tcBorders>
            <w:shd w:val="clear" w:color="auto" w:fill="FFFFFF"/>
            <w:tcMar>
              <w:top w:w="120" w:type="dxa"/>
              <w:left w:w="150" w:type="dxa"/>
              <w:bottom w:w="120" w:type="dxa"/>
              <w:right w:w="150" w:type="dxa"/>
            </w:tcMar>
            <w:hideMark/>
          </w:tcPr>
          <w:p w:rsidR="002B1293" w:rsidRDefault="002B1293" w:rsidP="00F874C0">
            <w:pPr>
              <w:rPr>
                <w:rFonts w:ascii="Tahoma" w:hAnsi="Tahoma" w:cs="Tahoma"/>
                <w:color w:val="3C3C3C"/>
                <w:spacing w:val="2"/>
                <w:sz w:val="18"/>
                <w:szCs w:val="18"/>
              </w:rPr>
            </w:pPr>
            <w:r>
              <w:rPr>
                <w:rFonts w:ascii="Tahoma" w:hAnsi="Tahoma" w:cs="Tahoma"/>
                <w:color w:val="3C3C3C"/>
                <w:spacing w:val="2"/>
                <w:sz w:val="18"/>
                <w:szCs w:val="18"/>
              </w:rPr>
              <w:t>□</w:t>
            </w:r>
          </w:p>
        </w:tc>
      </w:tr>
    </w:tbl>
    <w:p w:rsidR="006527DB" w:rsidRDefault="006527DB" w:rsidP="002B1293">
      <w:pPr>
        <w:jc w:val="both"/>
      </w:pPr>
      <w:bookmarkStart w:id="0" w:name="_GoBack"/>
      <w:bookmarkEnd w:id="0"/>
    </w:p>
    <w:sectPr w:rsidR="006527DB" w:rsidSect="00AB6068">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C0F" w:rsidRDefault="00F71C0F" w:rsidP="00645C6A">
      <w:pPr>
        <w:spacing w:after="0" w:line="240" w:lineRule="auto"/>
      </w:pPr>
      <w:r>
        <w:separator/>
      </w:r>
    </w:p>
  </w:endnote>
  <w:endnote w:type="continuationSeparator" w:id="0">
    <w:p w:rsidR="00F71C0F" w:rsidRDefault="00F71C0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EF15264" wp14:editId="1AF2B812">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31CD1">
      <w:rPr>
        <w:sz w:val="16"/>
        <w:szCs w:val="16"/>
      </w:rPr>
      <w:t>April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C0F" w:rsidRDefault="00F71C0F" w:rsidP="00645C6A">
      <w:pPr>
        <w:spacing w:after="0" w:line="240" w:lineRule="auto"/>
      </w:pPr>
      <w:r>
        <w:separator/>
      </w:r>
    </w:p>
  </w:footnote>
  <w:footnote w:type="continuationSeparator" w:id="0">
    <w:p w:rsidR="00F71C0F" w:rsidRDefault="00F71C0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186AF851" wp14:editId="5AC4E77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31CD1"/>
    <w:rsid w:val="00051EEE"/>
    <w:rsid w:val="000C1235"/>
    <w:rsid w:val="000F3088"/>
    <w:rsid w:val="0012313C"/>
    <w:rsid w:val="00154639"/>
    <w:rsid w:val="00267D40"/>
    <w:rsid w:val="002B1293"/>
    <w:rsid w:val="004070D7"/>
    <w:rsid w:val="0043100C"/>
    <w:rsid w:val="004E4B9B"/>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33CF9"/>
    <w:rsid w:val="00DC677A"/>
    <w:rsid w:val="00DD28A9"/>
    <w:rsid w:val="00E24430"/>
    <w:rsid w:val="00E9159F"/>
    <w:rsid w:val="00F71C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ucts.weka-business-portal.d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roducts.weka-business-portal.de/" TargetMode="External"/><Relationship Id="rId4" Type="http://schemas.openxmlformats.org/officeDocument/2006/relationships/settings" Target="settings.xml"/><Relationship Id="rId9" Type="http://schemas.openxmlformats.org/officeDocument/2006/relationships/hyperlink" Target="https://products.weka-business-portal.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1728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3</cp:revision>
  <dcterms:created xsi:type="dcterms:W3CDTF">2019-02-13T09:04:00Z</dcterms:created>
  <dcterms:modified xsi:type="dcterms:W3CDTF">2019-02-13T09:04:00Z</dcterms:modified>
</cp:coreProperties>
</file>