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DFCCF" w14:textId="77777777" w:rsidR="00097E64" w:rsidRDefault="00097E64" w:rsidP="00097E64">
      <w:pPr>
        <w:rPr>
          <w:color w:val="FF0000"/>
        </w:rPr>
      </w:pPr>
    </w:p>
    <w:p w14:paraId="32C7D5B2" w14:textId="77777777" w:rsidR="003820F1" w:rsidRDefault="003820F1" w:rsidP="003820F1">
      <w:pPr>
        <w:pStyle w:val="Doktitel"/>
        <w:numPr>
          <w:ilvl w:val="0"/>
          <w:numId w:val="0"/>
        </w:numPr>
        <w:spacing w:before="0" w:after="0" w:line="24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Flexibles Vergütungssystem</w:t>
      </w:r>
    </w:p>
    <w:p w14:paraId="375DD61F" w14:textId="77777777" w:rsidR="003820F1" w:rsidRDefault="003820F1" w:rsidP="003820F1">
      <w:pPr>
        <w:pStyle w:val="Textblock"/>
        <w:numPr>
          <w:ilvl w:val="0"/>
          <w:numId w:val="0"/>
        </w:numPr>
        <w:spacing w:before="0" w:after="0" w:line="240" w:lineRule="auto"/>
        <w:rPr>
          <w:color w:val="auto"/>
        </w:rPr>
      </w:pPr>
    </w:p>
    <w:p w14:paraId="25EC2F8A" w14:textId="77777777" w:rsidR="003820F1" w:rsidRDefault="003820F1" w:rsidP="003820F1">
      <w:pPr>
        <w:pStyle w:val="Textblock"/>
        <w:numPr>
          <w:ilvl w:val="0"/>
          <w:numId w:val="0"/>
        </w:numPr>
        <w:spacing w:before="0" w:after="0" w:line="240" w:lineRule="auto"/>
        <w:rPr>
          <w:color w:val="auto"/>
        </w:rPr>
      </w:pPr>
    </w:p>
    <w:p w14:paraId="70E8978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Die Geschäftsleitung und der Betriebsrat der … GmbH schließen folgende Betriebsverein</w:t>
      </w:r>
      <w:r>
        <w:rPr>
          <w:color w:val="auto"/>
        </w:rPr>
        <w:softHyphen/>
        <w:t>barung über ein flexibles Vergütungssystem:</w:t>
      </w:r>
    </w:p>
    <w:p w14:paraId="2609DA1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63000868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4B3101">
        <w:rPr>
          <w:rStyle w:val="Fett"/>
          <w:color w:val="auto"/>
          <w:sz w:val="24"/>
        </w:rPr>
        <w:t>Präambel</w:t>
      </w:r>
    </w:p>
    <w:p w14:paraId="134F6124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szCs w:val="22"/>
        </w:rPr>
      </w:pPr>
      <w:r w:rsidRPr="004B3101">
        <w:rPr>
          <w:color w:val="auto"/>
          <w:szCs w:val="22"/>
          <w:lang w:eastAsia="en-US"/>
        </w:rPr>
        <w:t xml:space="preserve">Für die Mitarbeiter soll die Einführung des Entgeltsystems dazu führen, dass die Vergütung </w:t>
      </w:r>
      <w:r w:rsidRPr="004B3101">
        <w:rPr>
          <w:color w:val="auto"/>
          <w:spacing w:val="-1"/>
          <w:szCs w:val="22"/>
          <w:lang w:eastAsia="en-US"/>
        </w:rPr>
        <w:t>trans</w:t>
      </w:r>
      <w:r>
        <w:rPr>
          <w:color w:val="auto"/>
          <w:spacing w:val="-1"/>
          <w:szCs w:val="22"/>
          <w:lang w:eastAsia="en-US"/>
        </w:rPr>
        <w:softHyphen/>
      </w:r>
      <w:r>
        <w:rPr>
          <w:color w:val="auto"/>
          <w:spacing w:val="-1"/>
          <w:szCs w:val="22"/>
          <w:lang w:eastAsia="en-US"/>
        </w:rPr>
        <w:softHyphen/>
      </w:r>
      <w:r w:rsidRPr="004B3101">
        <w:rPr>
          <w:color w:val="auto"/>
          <w:spacing w:val="-1"/>
          <w:szCs w:val="22"/>
          <w:lang w:eastAsia="en-US"/>
        </w:rPr>
        <w:t xml:space="preserve">parent, kalkulierbar und gerecht </w:t>
      </w:r>
      <w:r w:rsidRPr="004B3101">
        <w:rPr>
          <w:rFonts w:cs="Arial"/>
          <w:color w:val="auto"/>
          <w:spacing w:val="1"/>
          <w:szCs w:val="22"/>
          <w:lang w:eastAsia="en-US"/>
        </w:rPr>
        <w:t>wird.</w:t>
      </w:r>
      <w:r w:rsidRPr="004B3101">
        <w:rPr>
          <w:rFonts w:ascii="Garamond" w:hAnsi="Garamond" w:cs="Garamond"/>
          <w:color w:val="auto"/>
          <w:spacing w:val="1"/>
          <w:szCs w:val="22"/>
          <w:lang w:eastAsia="en-US"/>
        </w:rPr>
        <w:t xml:space="preserve"> </w:t>
      </w:r>
      <w:r w:rsidRPr="004B3101">
        <w:rPr>
          <w:color w:val="auto"/>
          <w:spacing w:val="-3"/>
          <w:szCs w:val="22"/>
          <w:lang w:eastAsia="en-US"/>
        </w:rPr>
        <w:t xml:space="preserve">Leistung soll sich auch </w:t>
      </w:r>
      <w:r w:rsidRPr="004B3101">
        <w:rPr>
          <w:color w:val="auto"/>
          <w:szCs w:val="22"/>
        </w:rPr>
        <w:t>finanziell</w:t>
      </w:r>
      <w:r w:rsidRPr="004B3101">
        <w:rPr>
          <w:color w:val="auto"/>
          <w:spacing w:val="-2"/>
          <w:szCs w:val="22"/>
          <w:lang w:eastAsia="en-US"/>
        </w:rPr>
        <w:t xml:space="preserve"> </w:t>
      </w:r>
      <w:r w:rsidRPr="004B3101">
        <w:rPr>
          <w:color w:val="auto"/>
          <w:spacing w:val="-1"/>
          <w:szCs w:val="22"/>
          <w:lang w:eastAsia="en-US"/>
        </w:rPr>
        <w:t xml:space="preserve">lohnen. </w:t>
      </w:r>
      <w:r w:rsidRPr="004B3101">
        <w:rPr>
          <w:color w:val="auto"/>
          <w:spacing w:val="-5"/>
          <w:szCs w:val="22"/>
          <w:lang w:eastAsia="en-US"/>
        </w:rPr>
        <w:t>Mit</w:t>
      </w:r>
      <w:r>
        <w:rPr>
          <w:color w:val="auto"/>
          <w:spacing w:val="-5"/>
          <w:szCs w:val="22"/>
          <w:lang w:eastAsia="en-US"/>
        </w:rPr>
        <w:softHyphen/>
      </w:r>
      <w:r w:rsidRPr="004B3101">
        <w:rPr>
          <w:color w:val="auto"/>
          <w:spacing w:val="-5"/>
          <w:szCs w:val="22"/>
          <w:lang w:eastAsia="en-US"/>
        </w:rPr>
        <w:t>arbeiter</w:t>
      </w:r>
      <w:r>
        <w:rPr>
          <w:color w:val="auto"/>
          <w:spacing w:val="-5"/>
          <w:szCs w:val="22"/>
          <w:lang w:eastAsia="en-US"/>
        </w:rPr>
        <w:softHyphen/>
      </w:r>
      <w:r w:rsidRPr="004B3101">
        <w:rPr>
          <w:color w:val="auto"/>
          <w:spacing w:val="-5"/>
          <w:szCs w:val="22"/>
          <w:lang w:eastAsia="en-US"/>
        </w:rPr>
        <w:t>verhalten, das der Firma nützt, soll sich fü</w:t>
      </w:r>
      <w:r w:rsidRPr="004B3101">
        <w:rPr>
          <w:color w:val="auto"/>
          <w:szCs w:val="22"/>
        </w:rPr>
        <w:t>r den Mitarbeiter auch finanziell auszahlen. Die Arbeits</w:t>
      </w:r>
      <w:r>
        <w:rPr>
          <w:color w:val="auto"/>
          <w:szCs w:val="22"/>
        </w:rPr>
        <w:softHyphen/>
      </w:r>
      <w:r w:rsidRPr="004B3101">
        <w:rPr>
          <w:color w:val="auto"/>
          <w:szCs w:val="22"/>
        </w:rPr>
        <w:t xml:space="preserve">plätze sollten sicherer </w:t>
      </w:r>
      <w:r w:rsidRPr="004B3101">
        <w:rPr>
          <w:color w:val="auto"/>
          <w:spacing w:val="-2"/>
          <w:szCs w:val="22"/>
          <w:lang w:eastAsia="en-US"/>
        </w:rPr>
        <w:t xml:space="preserve">werden. </w:t>
      </w:r>
      <w:r w:rsidRPr="004B3101">
        <w:rPr>
          <w:color w:val="auto"/>
          <w:szCs w:val="22"/>
        </w:rPr>
        <w:t>Für die Firma soll das Entgeltsystem flexible Personalkosten brin</w:t>
      </w:r>
      <w:r>
        <w:rPr>
          <w:color w:val="auto"/>
          <w:szCs w:val="22"/>
        </w:rPr>
        <w:softHyphen/>
      </w:r>
      <w:r w:rsidRPr="004B3101">
        <w:rPr>
          <w:color w:val="auto"/>
          <w:szCs w:val="22"/>
        </w:rPr>
        <w:t>gen, die sich dem Geschäftsverlauf anpassen: Bei schlechtem Betriebsergebnis sollen die Personalkosten sinken, um das Überleben der Firma und damit die Arbeitsplätze zu sichern. Bei gutem Betriebsergebnis sollen sie zum Ausgleich steigen.</w:t>
      </w:r>
    </w:p>
    <w:p w14:paraId="674E5002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szCs w:val="22"/>
        </w:rPr>
      </w:pPr>
    </w:p>
    <w:p w14:paraId="426043D4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4B3101">
        <w:rPr>
          <w:rStyle w:val="Fett"/>
          <w:color w:val="auto"/>
          <w:sz w:val="24"/>
        </w:rPr>
        <w:t>§ 1 Geltungsbereich</w:t>
      </w:r>
    </w:p>
    <w:p w14:paraId="0216F37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Die Betriebsvereinbarung gilt für die Hauptverwaltung und die Produktionsstätten in … und … sowie für alle Arbeiter und Angestellten mit Ausnahme der leitenden Angestellten i.S.v. § 5 Abs. 3 BetrVG, der Auszubildenden und der Arbeitnehmer mit befristeten Arbeitsverträgen.</w:t>
      </w:r>
    </w:p>
    <w:p w14:paraId="4586A85E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14:paraId="59F60853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rStyle w:val="Fett"/>
          <w:color w:val="auto"/>
          <w:sz w:val="24"/>
        </w:rPr>
      </w:pPr>
      <w:r w:rsidRPr="004B3101">
        <w:rPr>
          <w:rStyle w:val="Fett"/>
          <w:color w:val="auto"/>
          <w:sz w:val="24"/>
        </w:rPr>
        <w:t>§ 2 Vergütungskomponenten</w:t>
      </w:r>
    </w:p>
    <w:p w14:paraId="4EAA316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  <w:r>
        <w:rPr>
          <w:rStyle w:val="Fett"/>
          <w:color w:val="auto"/>
        </w:rPr>
        <w:t>(1)</w:t>
      </w:r>
      <w:r>
        <w:rPr>
          <w:rStyle w:val="Fett"/>
          <w:color w:val="auto"/>
        </w:rPr>
        <w:tab/>
        <w:t>Prinzip</w:t>
      </w:r>
    </w:p>
    <w:p w14:paraId="7235AFF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  <w:lang w:eastAsia="en-US"/>
        </w:rPr>
        <w:tab/>
        <w:t xml:space="preserve">Drei Vergütungskomponenten machen es möglich, jeden einzelnen </w:t>
      </w:r>
      <w:r>
        <w:rPr>
          <w:color w:val="auto"/>
        </w:rPr>
        <w:t>Mitarbeiter leistungs</w:t>
      </w:r>
      <w:r>
        <w:rPr>
          <w:color w:val="auto"/>
        </w:rPr>
        <w:softHyphen/>
        <w:t>ge</w:t>
      </w:r>
      <w:r>
        <w:rPr>
          <w:color w:val="auto"/>
        </w:rPr>
        <w:softHyphen/>
        <w:t>recht und entsprechend seinem Beitrag zum Geschäftserfolg zu entlohnen. Jede Kompo</w:t>
      </w:r>
      <w:r>
        <w:rPr>
          <w:color w:val="auto"/>
        </w:rPr>
        <w:softHyphen/>
        <w:t>nen</w:t>
      </w:r>
      <w:r>
        <w:rPr>
          <w:color w:val="auto"/>
        </w:rPr>
        <w:softHyphen/>
        <w:t>te honoriert dabei einen anderen Aspekt. Die drei Komponenten sind:</w:t>
      </w:r>
    </w:p>
    <w:p w14:paraId="10AD042E" w14:textId="77777777" w:rsidR="003820F1" w:rsidRDefault="003820F1" w:rsidP="003820F1">
      <w:pPr>
        <w:pStyle w:val="Liste1"/>
        <w:numPr>
          <w:ilvl w:val="0"/>
          <w:numId w:val="13"/>
        </w:numPr>
        <w:tabs>
          <w:tab w:val="clear" w:pos="720"/>
          <w:tab w:val="num" w:pos="284"/>
          <w:tab w:val="left" w:pos="425"/>
          <w:tab w:val="left" w:pos="851"/>
        </w:tabs>
        <w:spacing w:before="0" w:after="0" w:line="280" w:lineRule="exact"/>
        <w:ind w:left="425" w:firstLine="0"/>
        <w:rPr>
          <w:color w:val="auto"/>
          <w:lang w:eastAsia="en-US"/>
        </w:rPr>
      </w:pPr>
      <w:r>
        <w:rPr>
          <w:rStyle w:val="Fett"/>
          <w:color w:val="auto"/>
        </w:rPr>
        <w:t>Grundvergütung:</w:t>
      </w:r>
      <w:r>
        <w:rPr>
          <w:color w:val="auto"/>
          <w:spacing w:val="-1"/>
          <w:lang w:eastAsia="en-US"/>
        </w:rPr>
        <w:t xml:space="preserve"> </w:t>
      </w:r>
      <w:r>
        <w:rPr>
          <w:color w:val="auto"/>
          <w:lang w:eastAsia="en-US"/>
        </w:rPr>
        <w:t>für das Potenzial der Arbeitskraft, d.h. für den Leistungsinput</w:t>
      </w:r>
    </w:p>
    <w:p w14:paraId="58862403" w14:textId="77777777" w:rsidR="003820F1" w:rsidRDefault="003820F1" w:rsidP="003820F1">
      <w:pPr>
        <w:pStyle w:val="Liste1"/>
        <w:numPr>
          <w:ilvl w:val="0"/>
          <w:numId w:val="13"/>
        </w:numPr>
        <w:tabs>
          <w:tab w:val="clear" w:pos="720"/>
          <w:tab w:val="num" w:pos="284"/>
          <w:tab w:val="left" w:pos="425"/>
          <w:tab w:val="left" w:pos="851"/>
        </w:tabs>
        <w:spacing w:before="0" w:after="0" w:line="280" w:lineRule="exact"/>
        <w:ind w:left="425" w:firstLine="0"/>
        <w:rPr>
          <w:color w:val="auto"/>
          <w:lang w:eastAsia="en-US"/>
        </w:rPr>
      </w:pPr>
      <w:r>
        <w:rPr>
          <w:rStyle w:val="Fett"/>
          <w:color w:val="auto"/>
        </w:rPr>
        <w:t>Leistungsprämie</w:t>
      </w:r>
      <w:r>
        <w:rPr>
          <w:color w:val="auto"/>
          <w:lang w:eastAsia="en-US"/>
        </w:rPr>
        <w:t>: für persönliche Leistungsergebnisse, d.h. für den Leistungsoutput</w:t>
      </w:r>
    </w:p>
    <w:p w14:paraId="2D2075FC" w14:textId="77777777" w:rsidR="003820F1" w:rsidRDefault="003820F1" w:rsidP="003820F1">
      <w:pPr>
        <w:pStyle w:val="Liste1"/>
        <w:numPr>
          <w:ilvl w:val="0"/>
          <w:numId w:val="13"/>
        </w:numPr>
        <w:tabs>
          <w:tab w:val="clear" w:pos="720"/>
          <w:tab w:val="num" w:pos="284"/>
          <w:tab w:val="left" w:pos="425"/>
          <w:tab w:val="left" w:pos="851"/>
        </w:tabs>
        <w:spacing w:before="0" w:after="0" w:line="280" w:lineRule="exact"/>
        <w:ind w:left="425" w:firstLine="0"/>
        <w:rPr>
          <w:color w:val="auto"/>
          <w:lang w:eastAsia="en-US"/>
        </w:rPr>
      </w:pPr>
      <w:r>
        <w:rPr>
          <w:rStyle w:val="Fett"/>
          <w:color w:val="auto"/>
        </w:rPr>
        <w:t>Erfolgsbeteiligung:</w:t>
      </w:r>
      <w:r>
        <w:rPr>
          <w:color w:val="auto"/>
          <w:lang w:eastAsia="en-US"/>
        </w:rPr>
        <w:t xml:space="preserve"> für wirtschaftliche Erfolge der Gesamtfirma</w:t>
      </w:r>
    </w:p>
    <w:p w14:paraId="515B17C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lang w:eastAsia="en-US"/>
        </w:rPr>
      </w:pPr>
      <w:r>
        <w:rPr>
          <w:color w:val="auto"/>
          <w:lang w:eastAsia="en-US"/>
        </w:rPr>
        <w:tab/>
        <w:t xml:space="preserve">Die einzelnen Komponenten sind dabei so angelegt, dass sie unabhängig voneinander sind, </w:t>
      </w:r>
      <w:r>
        <w:rPr>
          <w:color w:val="auto"/>
          <w:spacing w:val="2"/>
          <w:lang w:eastAsia="en-US"/>
        </w:rPr>
        <w:t xml:space="preserve">damit </w:t>
      </w:r>
      <w:r>
        <w:rPr>
          <w:color w:val="auto"/>
          <w:lang w:eastAsia="en-US"/>
        </w:rPr>
        <w:t>das System transparent bleibt und nicht ein Aspekt mehrfach honoriert wird. Daher wirkt sich z.B. eine Leistungsprämie nicht erhöhend auf die Erfolgsbeteiligung aus.</w:t>
      </w:r>
    </w:p>
    <w:p w14:paraId="2EAC990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(2)</w:t>
      </w:r>
      <w:r>
        <w:rPr>
          <w:rStyle w:val="Fett"/>
          <w:color w:val="auto"/>
        </w:rPr>
        <w:tab/>
        <w:t>Grundvergütung</w:t>
      </w:r>
    </w:p>
    <w:p w14:paraId="2E77193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spacing w:val="-2"/>
          <w:szCs w:val="22"/>
          <w:lang w:eastAsia="en-US"/>
        </w:rPr>
      </w:pPr>
      <w:r>
        <w:rPr>
          <w:color w:val="auto"/>
          <w:lang w:eastAsia="en-US"/>
        </w:rPr>
        <w:tab/>
        <w:t>Die Grundvergütung honoriert das Potenzial der Arbeitskraft des Mitarbeiters (Wissen, Kön</w:t>
      </w:r>
      <w:r>
        <w:rPr>
          <w:color w:val="auto"/>
          <w:lang w:eastAsia="en-US"/>
        </w:rPr>
        <w:softHyphen/>
        <w:t>nen, Persönlichkeit, Verantwortung). Sie ergibt sich aus der Bewertung und Ein</w:t>
      </w:r>
      <w:r>
        <w:rPr>
          <w:color w:val="auto"/>
          <w:lang w:eastAsia="en-US"/>
        </w:rPr>
        <w:softHyphen/>
        <w:t>grup</w:t>
      </w:r>
      <w:r>
        <w:rPr>
          <w:color w:val="auto"/>
          <w:lang w:eastAsia="en-US"/>
        </w:rPr>
        <w:softHyphen/>
        <w:t>pierung der Arbeitskraft des Mitarbeiters (siehe 3.1) und der Anwendung der Gehaltstabelle (siehe 3.2).</w:t>
      </w:r>
      <w:r>
        <w:rPr>
          <w:color w:val="auto"/>
          <w:spacing w:val="-1"/>
          <w:szCs w:val="22"/>
        </w:rPr>
        <w:t xml:space="preserve"> </w:t>
      </w:r>
      <w:r>
        <w:rPr>
          <w:color w:val="auto"/>
          <w:spacing w:val="-1"/>
          <w:szCs w:val="22"/>
          <w:lang w:eastAsia="en-US"/>
        </w:rPr>
        <w:t xml:space="preserve">Die Zahlung erfolgt </w:t>
      </w:r>
      <w:r>
        <w:rPr>
          <w:color w:val="auto"/>
        </w:rPr>
        <w:t>zwölfmal im Jahr entwed</w:t>
      </w:r>
      <w:r>
        <w:rPr>
          <w:color w:val="auto"/>
          <w:szCs w:val="22"/>
          <w:lang w:eastAsia="en-US"/>
        </w:rPr>
        <w:t xml:space="preserve">er ausschließlich als Grundgehalt in Geld oder in </w:t>
      </w:r>
      <w:r>
        <w:rPr>
          <w:color w:val="auto"/>
          <w:spacing w:val="-2"/>
          <w:szCs w:val="22"/>
          <w:lang w:eastAsia="en-US"/>
        </w:rPr>
        <w:t xml:space="preserve">einem überwiegenden Grundgehaltsteil in Geld und dem restlichen Teil in der Form </w:t>
      </w:r>
      <w:r w:rsidRPr="004B3101">
        <w:rPr>
          <w:color w:val="auto"/>
          <w:spacing w:val="-2"/>
          <w:w w:val="99"/>
          <w:szCs w:val="22"/>
          <w:lang w:eastAsia="en-US"/>
        </w:rPr>
        <w:t xml:space="preserve">alternativer </w:t>
      </w:r>
      <w:r w:rsidRPr="004B3101">
        <w:rPr>
          <w:color w:val="auto"/>
          <w:spacing w:val="-3"/>
          <w:w w:val="99"/>
          <w:szCs w:val="22"/>
          <w:lang w:eastAsia="en-US"/>
        </w:rPr>
        <w:t xml:space="preserve">Vergütungen (siehe </w:t>
      </w:r>
      <w:r w:rsidRPr="004B3101">
        <w:rPr>
          <w:color w:val="auto"/>
          <w:spacing w:val="-2"/>
          <w:w w:val="99"/>
          <w:szCs w:val="22"/>
          <w:lang w:eastAsia="en-US"/>
        </w:rPr>
        <w:t xml:space="preserve">3.5). Die alternativen </w:t>
      </w:r>
      <w:r w:rsidRPr="004B3101">
        <w:rPr>
          <w:color w:val="auto"/>
          <w:spacing w:val="-2"/>
          <w:w w:val="99"/>
          <w:szCs w:val="22"/>
          <w:lang w:eastAsia="en-US"/>
        </w:rPr>
        <w:lastRenderedPageBreak/>
        <w:t>Vergütungen können (steuerbe</w:t>
      </w:r>
      <w:r w:rsidRPr="004B3101">
        <w:rPr>
          <w:color w:val="auto"/>
          <w:spacing w:val="-2"/>
          <w:w w:val="99"/>
          <w:szCs w:val="22"/>
          <w:lang w:eastAsia="en-US"/>
        </w:rPr>
        <w:softHyphen/>
        <w:t>günstig</w:t>
      </w:r>
      <w:r w:rsidRPr="004B3101">
        <w:rPr>
          <w:color w:val="auto"/>
          <w:spacing w:val="-2"/>
          <w:w w:val="99"/>
          <w:szCs w:val="22"/>
          <w:lang w:eastAsia="en-US"/>
        </w:rPr>
        <w:softHyphen/>
        <w:t>te)</w:t>
      </w:r>
      <w:r>
        <w:rPr>
          <w:color w:val="auto"/>
          <w:spacing w:val="-2"/>
          <w:szCs w:val="22"/>
          <w:lang w:eastAsia="en-US"/>
        </w:rPr>
        <w:t xml:space="preserve"> Sachleistungen und/oder individuelle indirekte Zahlungen (z.B. Versorgungsleistungen) </w:t>
      </w:r>
      <w:r>
        <w:rPr>
          <w:color w:val="auto"/>
          <w:spacing w:val="2"/>
          <w:szCs w:val="22"/>
          <w:lang w:eastAsia="en-US"/>
        </w:rPr>
        <w:t xml:space="preserve">sein. </w:t>
      </w:r>
      <w:r>
        <w:rPr>
          <w:color w:val="auto"/>
          <w:szCs w:val="22"/>
          <w:lang w:eastAsia="en-US"/>
        </w:rPr>
        <w:t xml:space="preserve">Die gesamte Grundvergütung, bestehend aus Grundgehalt und </w:t>
      </w:r>
      <w:r>
        <w:rPr>
          <w:color w:val="auto"/>
        </w:rPr>
        <w:t>alternativen Vergütungen</w:t>
      </w:r>
      <w:r>
        <w:rPr>
          <w:rFonts w:ascii="Bookman Old Style" w:hAnsi="Bookman Old Style" w:cs="Bookman Old Style"/>
          <w:color w:val="auto"/>
          <w:spacing w:val="3"/>
          <w:sz w:val="17"/>
          <w:szCs w:val="17"/>
          <w:lang w:eastAsia="en-US"/>
        </w:rPr>
        <w:t xml:space="preserve">, </w:t>
      </w:r>
      <w:r>
        <w:rPr>
          <w:color w:val="auto"/>
          <w:spacing w:val="-1"/>
          <w:szCs w:val="22"/>
          <w:lang w:eastAsia="en-US"/>
        </w:rPr>
        <w:t xml:space="preserve">ist die </w:t>
      </w:r>
      <w:r>
        <w:rPr>
          <w:color w:val="auto"/>
          <w:spacing w:val="-2"/>
          <w:szCs w:val="22"/>
          <w:lang w:eastAsia="en-US"/>
        </w:rPr>
        <w:t>Bemessungsgrundlage für Leistungsprämie und Erfolgsbeteiligung.</w:t>
      </w:r>
    </w:p>
    <w:p w14:paraId="2A0F99B1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(3)</w:t>
      </w:r>
      <w:r>
        <w:rPr>
          <w:rStyle w:val="Fett"/>
          <w:color w:val="auto"/>
        </w:rPr>
        <w:tab/>
        <w:t>Leistungsprämie</w:t>
      </w:r>
    </w:p>
    <w:p w14:paraId="3387EA0D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  <w:spacing w:val="-2"/>
          <w:szCs w:val="22"/>
          <w:lang w:eastAsia="en-US"/>
        </w:rPr>
        <w:tab/>
      </w:r>
      <w:r w:rsidRPr="004B3101">
        <w:rPr>
          <w:color w:val="auto"/>
          <w:spacing w:val="-2"/>
          <w:w w:val="99"/>
          <w:szCs w:val="22"/>
          <w:lang w:eastAsia="en-US"/>
        </w:rPr>
        <w:t xml:space="preserve">Die Leistungsprämie honoriert die persönlichen Leistungsergebnisse des Mitarbeiters. </w:t>
      </w:r>
      <w:r w:rsidRPr="004B3101">
        <w:rPr>
          <w:color w:val="auto"/>
          <w:spacing w:val="-1"/>
          <w:w w:val="99"/>
          <w:szCs w:val="22"/>
          <w:lang w:eastAsia="en-US"/>
        </w:rPr>
        <w:t>Sie wird</w:t>
      </w:r>
      <w:r>
        <w:rPr>
          <w:color w:val="auto"/>
          <w:spacing w:val="-1"/>
          <w:szCs w:val="22"/>
          <w:lang w:eastAsia="en-US"/>
        </w:rPr>
        <w:t xml:space="preserve"> </w:t>
      </w:r>
      <w:r>
        <w:rPr>
          <w:color w:val="auto"/>
          <w:spacing w:val="1"/>
          <w:szCs w:val="22"/>
          <w:lang w:eastAsia="en-US"/>
        </w:rPr>
        <w:t>nach einer</w:t>
      </w:r>
      <w:r>
        <w:rPr>
          <w:color w:val="auto"/>
        </w:rPr>
        <w:t xml:space="preserve"> Bewertung der Leistungsergebnisse, die der Mitarbeiter im vorausge</w:t>
      </w:r>
      <w:r>
        <w:rPr>
          <w:color w:val="auto"/>
        </w:rPr>
        <w:softHyphen/>
        <w:t>gan</w:t>
      </w:r>
      <w:r>
        <w:rPr>
          <w:color w:val="auto"/>
        </w:rPr>
        <w:softHyphen/>
        <w:t>ge</w:t>
      </w:r>
      <w:r>
        <w:rPr>
          <w:color w:val="auto"/>
        </w:rPr>
        <w:softHyphen/>
        <w:t>nen Quartal e</w:t>
      </w:r>
      <w:r>
        <w:rPr>
          <w:color w:val="auto"/>
          <w:szCs w:val="22"/>
          <w:lang w:eastAsia="en-US"/>
        </w:rPr>
        <w:t xml:space="preserve">rbracht hat, jeweils neu festgesetzt (siehe 4.2 und 4.3). </w:t>
      </w:r>
      <w:r>
        <w:rPr>
          <w:color w:val="auto"/>
          <w:spacing w:val="-2"/>
          <w:szCs w:val="22"/>
          <w:lang w:eastAsia="en-US"/>
        </w:rPr>
        <w:t>Die Auszahlung der jeweiligen Quartal-Leistungsprämie erfolgt in drei gleichen monatlichen Teilbeträgen. Bei kontinuierlich guten Leistungsergebnissen beträgt die L</w:t>
      </w:r>
      <w:r>
        <w:rPr>
          <w:color w:val="auto"/>
        </w:rPr>
        <w:t>eistungsprämie etwa zehn Prozent der zugrunde zu legenden Grundvergütung.</w:t>
      </w:r>
    </w:p>
    <w:p w14:paraId="002ACAE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(4)</w:t>
      </w:r>
      <w:r>
        <w:rPr>
          <w:rStyle w:val="Fett"/>
          <w:color w:val="auto"/>
        </w:rPr>
        <w:tab/>
        <w:t>Erfolgsbeteiligung</w:t>
      </w:r>
    </w:p>
    <w:p w14:paraId="04B66253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szCs w:val="22"/>
          <w:lang w:eastAsia="en-US"/>
        </w:rPr>
      </w:pPr>
      <w:r>
        <w:rPr>
          <w:color w:val="auto"/>
          <w:szCs w:val="22"/>
          <w:lang w:eastAsia="en-US"/>
        </w:rPr>
        <w:tab/>
        <w:t>Die Erfolgsbeteiligung beteiligt die Mitarbeiter am</w:t>
      </w:r>
      <w:r>
        <w:rPr>
          <w:color w:val="auto"/>
        </w:rPr>
        <w:t xml:space="preserve"> Geschäftserfolg der Gesamtfirma. Die Er</w:t>
      </w:r>
      <w:r>
        <w:rPr>
          <w:color w:val="auto"/>
        </w:rPr>
        <w:softHyphen/>
      </w:r>
      <w:r w:rsidRPr="004B3101">
        <w:rPr>
          <w:color w:val="auto"/>
          <w:w w:val="99"/>
        </w:rPr>
        <w:t>folgsbeteiligung setzt voraus, dass Gewinne erzielt wurden. Allerdings ist nicht die Höhe der</w:t>
      </w:r>
      <w:r>
        <w:rPr>
          <w:color w:val="auto"/>
        </w:rPr>
        <w:t xml:space="preserve"> Gewinne ausschlaggebend für die Ermittlung des Ausschüttungsprozentsatzes, son</w:t>
      </w:r>
      <w:r>
        <w:rPr>
          <w:color w:val="auto"/>
        </w:rPr>
        <w:softHyphen/>
        <w:t xml:space="preserve">dern </w:t>
      </w:r>
      <w:r w:rsidRPr="004B3101">
        <w:rPr>
          <w:color w:val="auto"/>
          <w:w w:val="99"/>
        </w:rPr>
        <w:t>der Grad der Geschäftszielerreichung. Bemessungsgrundlage ist die Jahresgrundvergü</w:t>
      </w:r>
      <w:r w:rsidRPr="004B3101">
        <w:rPr>
          <w:color w:val="auto"/>
          <w:w w:val="99"/>
        </w:rPr>
        <w:softHyphen/>
        <w:t>tung</w:t>
      </w:r>
      <w:r>
        <w:rPr>
          <w:color w:val="auto"/>
        </w:rPr>
        <w:t xml:space="preserve"> des Mitarbeiters im je</w:t>
      </w:r>
      <w:r>
        <w:rPr>
          <w:color w:val="auto"/>
          <w:spacing w:val="-2"/>
          <w:szCs w:val="22"/>
          <w:lang w:eastAsia="en-US"/>
        </w:rPr>
        <w:t xml:space="preserve">weiligen </w:t>
      </w:r>
      <w:r>
        <w:rPr>
          <w:color w:val="auto"/>
          <w:szCs w:val="22"/>
          <w:lang w:eastAsia="en-US"/>
        </w:rPr>
        <w:t>Geschäftsjahr (Januar bis Dezember). Die Ausschüttung er</w:t>
      </w:r>
      <w:r>
        <w:rPr>
          <w:color w:val="auto"/>
          <w:szCs w:val="22"/>
          <w:lang w:eastAsia="en-US"/>
        </w:rPr>
        <w:softHyphen/>
        <w:t xml:space="preserve">folgt zweimal im Jahr, und zwar in </w:t>
      </w:r>
      <w:r>
        <w:rPr>
          <w:color w:val="auto"/>
          <w:spacing w:val="-2"/>
          <w:szCs w:val="22"/>
          <w:lang w:eastAsia="en-US"/>
        </w:rPr>
        <w:t>Form eines Vorschusses im Oktober des Geschäfts</w:t>
      </w:r>
      <w:r>
        <w:rPr>
          <w:color w:val="auto"/>
          <w:spacing w:val="-2"/>
          <w:szCs w:val="22"/>
          <w:lang w:eastAsia="en-US"/>
        </w:rPr>
        <w:softHyphen/>
        <w:t xml:space="preserve">jahres und einer Endausschüttung im April des </w:t>
      </w:r>
      <w:r>
        <w:rPr>
          <w:color w:val="auto"/>
          <w:szCs w:val="22"/>
          <w:lang w:eastAsia="en-US"/>
        </w:rPr>
        <w:t>Folgejahres.</w:t>
      </w:r>
    </w:p>
    <w:p w14:paraId="63E6C74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(5)</w:t>
      </w:r>
      <w:r>
        <w:rPr>
          <w:rStyle w:val="Fett"/>
          <w:color w:val="auto"/>
        </w:rPr>
        <w:tab/>
        <w:t>Zusammenspiel der Komponenten</w:t>
      </w:r>
    </w:p>
    <w:p w14:paraId="277878D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lang w:eastAsia="en-US"/>
        </w:rPr>
      </w:pPr>
      <w:r>
        <w:rPr>
          <w:color w:val="auto"/>
          <w:lang w:eastAsia="en-US"/>
        </w:rPr>
        <w:tab/>
        <w:t>Zusammenfassend ergänzen sich die Vergütungskomponenten wie folgt:</w:t>
      </w:r>
    </w:p>
    <w:p w14:paraId="53C1066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lang w:eastAsia="en-U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817"/>
        <w:gridCol w:w="7281"/>
      </w:tblGrid>
      <w:tr w:rsidR="003820F1" w14:paraId="4E06378A" w14:textId="77777777" w:rsidTr="00B97E86">
        <w:tc>
          <w:tcPr>
            <w:tcW w:w="817" w:type="dxa"/>
          </w:tcPr>
          <w:p w14:paraId="2F1F9B00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</w:pPr>
          </w:p>
        </w:tc>
        <w:tc>
          <w:tcPr>
            <w:tcW w:w="7281" w:type="dxa"/>
          </w:tcPr>
          <w:p w14:paraId="6A8A12F5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monatliches</w:t>
            </w:r>
            <w:r>
              <w:t xml:space="preserve"> Grundgehalt </w:t>
            </w: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Geldteil</w:t>
            </w:r>
            <w:proofErr w:type="spellEnd"/>
            <w:r>
              <w:rPr>
                <w:lang w:eastAsia="en-US"/>
              </w:rPr>
              <w:t xml:space="preserve"> der Grundvergütung), zwölfmal im Jahr</w:t>
            </w:r>
          </w:p>
        </w:tc>
      </w:tr>
      <w:tr w:rsidR="003820F1" w14:paraId="50787F7A" w14:textId="77777777" w:rsidTr="00B97E86">
        <w:tc>
          <w:tcPr>
            <w:tcW w:w="817" w:type="dxa"/>
            <w:tcBorders>
              <w:bottom w:val="single" w:sz="4" w:space="0" w:color="auto"/>
            </w:tcBorders>
          </w:tcPr>
          <w:p w14:paraId="5F8D909B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7281" w:type="dxa"/>
            <w:tcBorders>
              <w:bottom w:val="single" w:sz="4" w:space="0" w:color="auto"/>
            </w:tcBorders>
          </w:tcPr>
          <w:p w14:paraId="54F18497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monatlicher Geldwert</w:t>
            </w:r>
            <w:r>
              <w:t xml:space="preserve"> alternativer Vergütungen (Sachleis</w:t>
            </w:r>
            <w:r>
              <w:rPr>
                <w:lang w:eastAsia="en-US"/>
              </w:rPr>
              <w:t>tungen wie private Nutzung eines Dienstwagens und indirekte Zahlungen wie Direktversicherungen)</w:t>
            </w:r>
          </w:p>
        </w:tc>
      </w:tr>
      <w:tr w:rsidR="003820F1" w14:paraId="767EA27E" w14:textId="77777777" w:rsidTr="00B97E86">
        <w:tc>
          <w:tcPr>
            <w:tcW w:w="817" w:type="dxa"/>
            <w:tcBorders>
              <w:top w:val="single" w:sz="4" w:space="0" w:color="auto"/>
            </w:tcBorders>
          </w:tcPr>
          <w:p w14:paraId="39BF575E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=</w:t>
            </w:r>
          </w:p>
        </w:tc>
        <w:tc>
          <w:tcPr>
            <w:tcW w:w="7281" w:type="dxa"/>
            <w:tcBorders>
              <w:top w:val="single" w:sz="4" w:space="0" w:color="auto"/>
            </w:tcBorders>
          </w:tcPr>
          <w:p w14:paraId="7C878823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monatliche</w:t>
            </w:r>
            <w:r>
              <w:t xml:space="preserve"> Grundvergütung, </w:t>
            </w:r>
            <w:r>
              <w:rPr>
                <w:lang w:eastAsia="en-US"/>
              </w:rPr>
              <w:t xml:space="preserve">zwölfmal im Jahr (Bemessungsgrundlage für (d) </w:t>
            </w:r>
            <w:r>
              <w:rPr>
                <w:spacing w:val="-1"/>
                <w:lang w:eastAsia="en-US"/>
              </w:rPr>
              <w:t>und (f)</w:t>
            </w:r>
          </w:p>
        </w:tc>
      </w:tr>
      <w:tr w:rsidR="003820F1" w14:paraId="6E2B7A2B" w14:textId="77777777" w:rsidTr="00B97E86">
        <w:tc>
          <w:tcPr>
            <w:tcW w:w="817" w:type="dxa"/>
            <w:tcBorders>
              <w:bottom w:val="single" w:sz="4" w:space="0" w:color="auto"/>
            </w:tcBorders>
          </w:tcPr>
          <w:p w14:paraId="732CBEAC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7281" w:type="dxa"/>
            <w:tcBorders>
              <w:bottom w:val="single" w:sz="4" w:space="0" w:color="auto"/>
            </w:tcBorders>
          </w:tcPr>
          <w:p w14:paraId="169BB2EA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Jahressumme der monatlich ausgezahlten Quartal-Leistungsprämien</w:t>
            </w:r>
          </w:p>
        </w:tc>
      </w:tr>
      <w:tr w:rsidR="003820F1" w14:paraId="4E11E365" w14:textId="77777777" w:rsidTr="00B97E86">
        <w:tc>
          <w:tcPr>
            <w:tcW w:w="817" w:type="dxa"/>
            <w:tcBorders>
              <w:top w:val="single" w:sz="4" w:space="0" w:color="auto"/>
            </w:tcBorders>
          </w:tcPr>
          <w:p w14:paraId="14FAC88C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=</w:t>
            </w:r>
          </w:p>
        </w:tc>
        <w:tc>
          <w:tcPr>
            <w:tcW w:w="7281" w:type="dxa"/>
            <w:tcBorders>
              <w:top w:val="single" w:sz="4" w:space="0" w:color="auto"/>
            </w:tcBorders>
          </w:tcPr>
          <w:p w14:paraId="73EC5F53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t>Jahreseinkommen o</w:t>
            </w:r>
            <w:r>
              <w:rPr>
                <w:lang w:eastAsia="en-US"/>
              </w:rPr>
              <w:t>hne Erfolgsbeteiligung</w:t>
            </w:r>
          </w:p>
        </w:tc>
      </w:tr>
      <w:tr w:rsidR="003820F1" w14:paraId="58B52CF8" w14:textId="77777777" w:rsidTr="00B97E86">
        <w:tc>
          <w:tcPr>
            <w:tcW w:w="817" w:type="dxa"/>
            <w:tcBorders>
              <w:bottom w:val="single" w:sz="4" w:space="0" w:color="auto"/>
            </w:tcBorders>
          </w:tcPr>
          <w:p w14:paraId="1F4D776E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7281" w:type="dxa"/>
            <w:tcBorders>
              <w:bottom w:val="single" w:sz="4" w:space="0" w:color="auto"/>
            </w:tcBorders>
          </w:tcPr>
          <w:p w14:paraId="79EB735A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t>Erfolgsbeteiligung au</w:t>
            </w:r>
            <w:r>
              <w:rPr>
                <w:lang w:eastAsia="en-US"/>
              </w:rPr>
              <w:t>f der Basis von Grundvergütung (c) und Grad der Geschäftszielerreichung</w:t>
            </w:r>
          </w:p>
        </w:tc>
      </w:tr>
      <w:tr w:rsidR="003820F1" w14:paraId="6A63CAEF" w14:textId="77777777" w:rsidTr="00B97E86">
        <w:tc>
          <w:tcPr>
            <w:tcW w:w="817" w:type="dxa"/>
            <w:tcBorders>
              <w:top w:val="single" w:sz="4" w:space="0" w:color="auto"/>
            </w:tcBorders>
          </w:tcPr>
          <w:p w14:paraId="398B07E0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=</w:t>
            </w:r>
          </w:p>
        </w:tc>
        <w:tc>
          <w:tcPr>
            <w:tcW w:w="7281" w:type="dxa"/>
            <w:tcBorders>
              <w:top w:val="single" w:sz="4" w:space="0" w:color="auto"/>
            </w:tcBorders>
          </w:tcPr>
          <w:p w14:paraId="25B9F7CA" w14:textId="77777777" w:rsidR="003820F1" w:rsidRDefault="003820F1" w:rsidP="00B97E86">
            <w:pPr>
              <w:pStyle w:val="TabelleTextblocklinksoben"/>
              <w:tabs>
                <w:tab w:val="left" w:pos="425"/>
                <w:tab w:val="left" w:pos="851"/>
              </w:tabs>
              <w:rPr>
                <w:lang w:eastAsia="en-US"/>
              </w:rPr>
            </w:pPr>
            <w:r>
              <w:rPr>
                <w:lang w:eastAsia="en-US"/>
              </w:rPr>
              <w:t>Jahresgesamteinkommen (ohne Überstundenbezahlung, ohne Arbeitgeberbeiträge zur gesetzlichen Sozialversicherung)</w:t>
            </w:r>
          </w:p>
        </w:tc>
      </w:tr>
    </w:tbl>
    <w:p w14:paraId="116D28C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23C196EF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(6)</w:t>
      </w:r>
      <w:r>
        <w:rPr>
          <w:rStyle w:val="Fett"/>
          <w:color w:val="auto"/>
        </w:rPr>
        <w:tab/>
        <w:t>Gesamteinkommen</w:t>
      </w:r>
    </w:p>
    <w:p w14:paraId="54C81D59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spacing w:val="-4"/>
          <w:lang w:eastAsia="en-US"/>
        </w:rPr>
      </w:pPr>
      <w:r>
        <w:rPr>
          <w:color w:val="auto"/>
          <w:spacing w:val="-5"/>
          <w:lang w:eastAsia="en-US"/>
        </w:rPr>
        <w:tab/>
        <w:t xml:space="preserve">Die einzelnen Vergütungskomponenten ergänzen sich zum Jahresgesamteinkommen. </w:t>
      </w:r>
      <w:r>
        <w:rPr>
          <w:color w:val="auto"/>
          <w:spacing w:val="-12"/>
          <w:lang w:eastAsia="en-US"/>
        </w:rPr>
        <w:t xml:space="preserve">Im </w:t>
      </w:r>
      <w:r>
        <w:rPr>
          <w:color w:val="auto"/>
          <w:spacing w:val="-2"/>
          <w:lang w:eastAsia="en-US"/>
        </w:rPr>
        <w:t>un</w:t>
      </w:r>
      <w:r>
        <w:rPr>
          <w:color w:val="auto"/>
          <w:spacing w:val="-2"/>
          <w:lang w:eastAsia="en-US"/>
        </w:rPr>
        <w:softHyphen/>
        <w:t>günstigs</w:t>
      </w:r>
      <w:r>
        <w:rPr>
          <w:color w:val="auto"/>
          <w:spacing w:val="-2"/>
          <w:lang w:eastAsia="en-US"/>
        </w:rPr>
        <w:softHyphen/>
        <w:t xml:space="preserve">ten Fall wird die Grundvergütung (Grundgehalt und alternative Vergütungen) </w:t>
      </w:r>
      <w:r>
        <w:rPr>
          <w:color w:val="auto"/>
          <w:spacing w:val="-1"/>
          <w:lang w:eastAsia="en-US"/>
        </w:rPr>
        <w:lastRenderedPageBreak/>
        <w:t xml:space="preserve">ohne </w:t>
      </w:r>
      <w:r>
        <w:rPr>
          <w:color w:val="auto"/>
          <w:spacing w:val="-2"/>
          <w:lang w:eastAsia="en-US"/>
        </w:rPr>
        <w:t>Leis</w:t>
      </w:r>
      <w:r>
        <w:rPr>
          <w:color w:val="auto"/>
          <w:spacing w:val="-2"/>
          <w:lang w:eastAsia="en-US"/>
        </w:rPr>
        <w:softHyphen/>
        <w:t>tungsprämie und ohne Erfolgsbeteiligung gezahlt. Im sehr guten Fall erhöht sich das Min</w:t>
      </w:r>
      <w:r>
        <w:rPr>
          <w:color w:val="auto"/>
          <w:spacing w:val="-2"/>
          <w:lang w:eastAsia="en-US"/>
        </w:rPr>
        <w:softHyphen/>
        <w:t xml:space="preserve">desteinkommen insgesamt um 40 Prozent durch die Leistungsprämie von 20 Prozent und eine </w:t>
      </w:r>
      <w:r>
        <w:rPr>
          <w:color w:val="auto"/>
          <w:spacing w:val="-4"/>
          <w:lang w:eastAsia="en-US"/>
        </w:rPr>
        <w:t>Erfolgsbeteiligung von 20 Prozent der Grundvergütung.</w:t>
      </w:r>
    </w:p>
    <w:p w14:paraId="1C1AC6F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4A4F86DC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4B3101">
        <w:rPr>
          <w:rStyle w:val="Fett"/>
          <w:color w:val="auto"/>
          <w:sz w:val="24"/>
        </w:rPr>
        <w:t>§ 3 Grundvergütung</w:t>
      </w:r>
    </w:p>
    <w:p w14:paraId="67F5884D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lang w:eastAsia="en-US"/>
        </w:rPr>
      </w:pPr>
      <w:r>
        <w:rPr>
          <w:color w:val="auto"/>
          <w:lang w:eastAsia="en-US"/>
        </w:rPr>
        <w:t>Die Festsetzung der Grundvergütung erfolgt in zwei Schritten:</w:t>
      </w:r>
    </w:p>
    <w:p w14:paraId="517ADEC5" w14:textId="77777777" w:rsidR="003820F1" w:rsidRDefault="003820F1" w:rsidP="003820F1">
      <w:pPr>
        <w:pStyle w:val="Liste1"/>
        <w:numPr>
          <w:ilvl w:val="0"/>
          <w:numId w:val="14"/>
        </w:numPr>
        <w:tabs>
          <w:tab w:val="clear" w:pos="1928"/>
          <w:tab w:val="left" w:pos="284"/>
          <w:tab w:val="left" w:pos="425"/>
          <w:tab w:val="left" w:pos="851"/>
        </w:tabs>
        <w:spacing w:before="0" w:after="60" w:line="280" w:lineRule="exact"/>
        <w:ind w:left="284" w:hanging="284"/>
        <w:rPr>
          <w:color w:val="auto"/>
          <w:spacing w:val="-2"/>
          <w:lang w:eastAsia="en-US"/>
        </w:rPr>
      </w:pPr>
      <w:r>
        <w:rPr>
          <w:color w:val="auto"/>
          <w:lang w:eastAsia="en-US"/>
        </w:rPr>
        <w:t xml:space="preserve">Bewertung der Arbeitskraft, d.h. Bestimmung der Gehaltsgruppe nach der </w:t>
      </w:r>
      <w:r>
        <w:rPr>
          <w:color w:val="auto"/>
          <w:spacing w:val="-2"/>
          <w:lang w:eastAsia="en-US"/>
        </w:rPr>
        <w:t>Eingruppie</w:t>
      </w:r>
      <w:r>
        <w:rPr>
          <w:color w:val="auto"/>
          <w:spacing w:val="-2"/>
          <w:lang w:eastAsia="en-US"/>
        </w:rPr>
        <w:softHyphen/>
        <w:t>rungs</w:t>
      </w:r>
      <w:r>
        <w:rPr>
          <w:color w:val="auto"/>
          <w:spacing w:val="-2"/>
          <w:lang w:eastAsia="en-US"/>
        </w:rPr>
        <w:softHyphen/>
        <w:t>matrix</w:t>
      </w:r>
    </w:p>
    <w:p w14:paraId="71C0FB83" w14:textId="77777777" w:rsidR="003820F1" w:rsidRDefault="003820F1" w:rsidP="003820F1">
      <w:pPr>
        <w:pStyle w:val="Liste1"/>
        <w:numPr>
          <w:ilvl w:val="0"/>
          <w:numId w:val="14"/>
        </w:numPr>
        <w:tabs>
          <w:tab w:val="clear" w:pos="1928"/>
          <w:tab w:val="left" w:pos="284"/>
          <w:tab w:val="left" w:pos="425"/>
          <w:tab w:val="left" w:pos="851"/>
        </w:tabs>
        <w:spacing w:before="0" w:after="60" w:line="280" w:lineRule="exact"/>
        <w:ind w:left="0" w:firstLine="0"/>
        <w:rPr>
          <w:color w:val="auto"/>
          <w:lang w:eastAsia="en-US"/>
        </w:rPr>
      </w:pPr>
      <w:r>
        <w:rPr>
          <w:color w:val="auto"/>
          <w:lang w:eastAsia="en-US"/>
        </w:rPr>
        <w:t>Anwendung der Gehaltstabelle</w:t>
      </w:r>
    </w:p>
    <w:p w14:paraId="137DC987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(1)</w:t>
      </w:r>
      <w:r>
        <w:rPr>
          <w:rStyle w:val="Fett"/>
          <w:color w:val="auto"/>
        </w:rPr>
        <w:tab/>
        <w:t>Bewertung der Arbeitskraft</w:t>
      </w:r>
    </w:p>
    <w:p w14:paraId="5BA8FA1C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spacing w:val="-1"/>
          <w:lang w:eastAsia="en-US"/>
        </w:rPr>
      </w:pPr>
      <w:r>
        <w:rPr>
          <w:color w:val="auto"/>
          <w:lang w:eastAsia="en-US"/>
        </w:rPr>
        <w:tab/>
        <w:t xml:space="preserve">Die Bewertung der Arbeitskraft (nicht des Arbeitsplatzes) des Mitarbeiters erfolgt auf der </w:t>
      </w:r>
      <w:r>
        <w:rPr>
          <w:color w:val="auto"/>
          <w:spacing w:val="-4"/>
          <w:lang w:eastAsia="en-US"/>
        </w:rPr>
        <w:t>Grundl</w:t>
      </w:r>
      <w:r>
        <w:rPr>
          <w:color w:val="auto"/>
          <w:spacing w:val="-4"/>
          <w:lang w:eastAsia="en-US"/>
        </w:rPr>
        <w:softHyphen/>
        <w:t xml:space="preserve">age einer Eingruppierungsmatrix. Wesentlich für die Eingruppierung sind zwei </w:t>
      </w:r>
      <w:r>
        <w:rPr>
          <w:color w:val="auto"/>
          <w:spacing w:val="-1"/>
          <w:lang w:eastAsia="en-US"/>
        </w:rPr>
        <w:t>Faktoren:</w:t>
      </w:r>
    </w:p>
    <w:p w14:paraId="7C8FFB9B" w14:textId="77777777" w:rsidR="003820F1" w:rsidRDefault="003820F1" w:rsidP="003820F1">
      <w:pPr>
        <w:pStyle w:val="Liste1"/>
        <w:numPr>
          <w:ilvl w:val="0"/>
          <w:numId w:val="15"/>
        </w:numPr>
        <w:tabs>
          <w:tab w:val="clear" w:pos="720"/>
          <w:tab w:val="clear" w:pos="1928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</w:rPr>
      </w:pPr>
      <w:r>
        <w:rPr>
          <w:color w:val="auto"/>
          <w:lang w:eastAsia="en-US"/>
        </w:rPr>
        <w:t>das a</w:t>
      </w:r>
      <w:r>
        <w:rPr>
          <w:color w:val="auto"/>
        </w:rPr>
        <w:t xml:space="preserve">ngewandte Wissen und Können (nicht nur der Ausbildungsabschluss) sowie die </w:t>
      </w:r>
      <w:r>
        <w:rPr>
          <w:color w:val="auto"/>
        </w:rPr>
        <w:tab/>
        <w:t>Persönlichkeit, soweit diese für die Tätigkeit relevant ist</w:t>
      </w:r>
    </w:p>
    <w:p w14:paraId="3AB457AE" w14:textId="77777777" w:rsidR="003820F1" w:rsidRDefault="003820F1" w:rsidP="003820F1">
      <w:pPr>
        <w:pStyle w:val="Liste1"/>
        <w:numPr>
          <w:ilvl w:val="0"/>
          <w:numId w:val="15"/>
        </w:numPr>
        <w:tabs>
          <w:tab w:val="clear" w:pos="720"/>
          <w:tab w:val="clear" w:pos="1928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  <w:spacing w:val="-2"/>
          <w:lang w:eastAsia="en-US"/>
        </w:rPr>
      </w:pPr>
      <w:r>
        <w:rPr>
          <w:color w:val="auto"/>
        </w:rPr>
        <w:t>Beeinflussung des Geschäftserfolgs durc</w:t>
      </w:r>
      <w:r>
        <w:rPr>
          <w:color w:val="auto"/>
          <w:spacing w:val="-2"/>
          <w:lang w:eastAsia="en-US"/>
        </w:rPr>
        <w:t>h den Mitarbeiter</w:t>
      </w:r>
    </w:p>
    <w:p w14:paraId="3394771E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  <w:lang w:eastAsia="en-US"/>
        </w:rPr>
        <w:tab/>
        <w:t xml:space="preserve">Beide Faktoren zusammen charakterisieren das Einsatzpotenzial des Mitarbeiters in den </w:t>
      </w:r>
      <w:r>
        <w:rPr>
          <w:color w:val="auto"/>
          <w:spacing w:val="-4"/>
          <w:lang w:eastAsia="en-US"/>
        </w:rPr>
        <w:t>Grenzen der betrieblichen Arbeitsorganisation.</w:t>
      </w:r>
    </w:p>
    <w:p w14:paraId="61AA899F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rStyle w:val="Fett"/>
          <w:b w:val="0"/>
          <w:color w:val="auto"/>
        </w:rPr>
      </w:pPr>
      <w:r w:rsidRPr="004B3101">
        <w:rPr>
          <w:rStyle w:val="Fett"/>
          <w:color w:val="auto"/>
        </w:rPr>
        <w:t>(1.1)Eingruppierungsmatrix</w:t>
      </w:r>
    </w:p>
    <w:p w14:paraId="666E7CC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ab/>
        <w:t>Einmal im Jahr im November prüft die Geschäftsleitung alle Eingruppierungen auf der Grundlage des Mitarbeiterbeurteilungsverfahrens.</w:t>
      </w:r>
    </w:p>
    <w:p w14:paraId="37B63E0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ab/>
        <w:t>Wissenserweiterung, Persönlichkeitsentwicklung und veränderte Arbeitsanforderungen werden bei der Eingruppierungsprüfung ebenso berücksichtigt wie der Einfluss des Mit</w:t>
      </w:r>
      <w:r>
        <w:rPr>
          <w:color w:val="auto"/>
        </w:rPr>
        <w:softHyphen/>
        <w:t>ar</w:t>
      </w:r>
      <w:r>
        <w:rPr>
          <w:color w:val="auto"/>
        </w:rPr>
        <w:softHyphen/>
        <w:t>beiters auf den Geschäftserfolg. Eine Mitarbeiterbewertung erfolgt nicht. Die Mitarbeiter</w:t>
      </w:r>
      <w:r>
        <w:rPr>
          <w:color w:val="auto"/>
        </w:rPr>
        <w:softHyphen/>
        <w:t>beur</w:t>
      </w:r>
      <w:r>
        <w:rPr>
          <w:color w:val="auto"/>
        </w:rPr>
        <w:softHyphen/>
        <w:t>teilung dient der Erfassung und Förderung des Leistungsinputs des Mitarbeiters.</w:t>
      </w:r>
    </w:p>
    <w:p w14:paraId="65767AE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ab/>
        <w:t>(Eingruppierungsmatrix siehe Anlage)</w:t>
      </w:r>
    </w:p>
    <w:p w14:paraId="0D566430" w14:textId="77777777" w:rsidR="003820F1" w:rsidRPr="004B310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b w:val="0"/>
          <w:color w:val="auto"/>
        </w:rPr>
      </w:pPr>
      <w:r w:rsidRPr="004B3101">
        <w:rPr>
          <w:rStyle w:val="Fett"/>
          <w:color w:val="auto"/>
        </w:rPr>
        <w:t>(1.2)Mitarbeiterbeurteilung</w:t>
      </w:r>
    </w:p>
    <w:p w14:paraId="464E3E9C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ab/>
        <w:t>Original für Personalakte (drei Jahre); je eine Kopie Mitarbeiter und ersten Vorgesetzten</w:t>
      </w:r>
    </w:p>
    <w:p w14:paraId="42C4B0D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ab/>
        <w:t>(Mitarbeiterbeurteilung siehe Anlage)</w:t>
      </w:r>
    </w:p>
    <w:p w14:paraId="0EC16E4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(2)</w:t>
      </w:r>
      <w:r>
        <w:rPr>
          <w:rStyle w:val="Fett"/>
          <w:color w:val="auto"/>
        </w:rPr>
        <w:tab/>
        <w:t>Anwendung der Gehaltstabelle</w:t>
      </w:r>
    </w:p>
    <w:p w14:paraId="2DB0F79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lang w:eastAsia="en-US"/>
        </w:rPr>
      </w:pPr>
      <w:r>
        <w:rPr>
          <w:color w:val="auto"/>
        </w:rPr>
        <w:tab/>
        <w:t>Aus der Geh</w:t>
      </w:r>
      <w:r>
        <w:rPr>
          <w:color w:val="auto"/>
          <w:lang w:eastAsia="en-US"/>
        </w:rPr>
        <w:t>altsgruppe wird über die Gehaltstabelle die Grundvergütung bestimmt:</w:t>
      </w:r>
    </w:p>
    <w:p w14:paraId="7916DBC7" w14:textId="77777777" w:rsidR="003820F1" w:rsidRDefault="003820F1" w:rsidP="003820F1">
      <w:pPr>
        <w:pStyle w:val="Liste1"/>
        <w:tabs>
          <w:tab w:val="clear" w:pos="1494"/>
          <w:tab w:val="left" w:pos="425"/>
          <w:tab w:val="left" w:pos="851"/>
          <w:tab w:val="num" w:pos="1891"/>
        </w:tabs>
        <w:spacing w:before="60" w:after="60" w:line="280" w:lineRule="exact"/>
        <w:ind w:left="425" w:hanging="425"/>
        <w:rPr>
          <w:color w:val="auto"/>
          <w:spacing w:val="-5"/>
          <w:lang w:eastAsia="en-US"/>
        </w:rPr>
      </w:pPr>
      <w:r>
        <w:rPr>
          <w:color w:val="auto"/>
          <w:lang w:eastAsia="en-US"/>
        </w:rPr>
        <w:tab/>
        <w:t>Jeder Gehaltsgruppe ist ei</w:t>
      </w:r>
      <w:r>
        <w:rPr>
          <w:color w:val="auto"/>
        </w:rPr>
        <w:t>n Gehaltsband zu</w:t>
      </w:r>
      <w:r>
        <w:rPr>
          <w:color w:val="auto"/>
          <w:lang w:eastAsia="en-US"/>
        </w:rPr>
        <w:t xml:space="preserve">geordnet, d.h. ein Intervall mit </w:t>
      </w:r>
      <w:r>
        <w:rPr>
          <w:color w:val="auto"/>
          <w:spacing w:val="-5"/>
          <w:lang w:eastAsia="en-US"/>
        </w:rPr>
        <w:t>Untergrenze und Obergrenze. Die Bänder überlappen sich.</w:t>
      </w:r>
    </w:p>
    <w:p w14:paraId="7CFA5A86" w14:textId="77777777" w:rsidR="003820F1" w:rsidRDefault="003820F1" w:rsidP="003820F1">
      <w:pPr>
        <w:pStyle w:val="Liste1"/>
        <w:tabs>
          <w:tab w:val="clear" w:pos="1494"/>
          <w:tab w:val="left" w:pos="425"/>
          <w:tab w:val="left" w:pos="851"/>
          <w:tab w:val="num" w:pos="1891"/>
        </w:tabs>
        <w:spacing w:before="60" w:after="60" w:line="280" w:lineRule="exact"/>
        <w:ind w:left="425" w:hanging="425"/>
        <w:rPr>
          <w:color w:val="auto"/>
          <w:spacing w:val="1"/>
          <w:lang w:eastAsia="en-US"/>
        </w:rPr>
      </w:pPr>
      <w:r>
        <w:rPr>
          <w:color w:val="auto"/>
          <w:lang w:eastAsia="en-US"/>
        </w:rPr>
        <w:tab/>
      </w:r>
      <w:r w:rsidRPr="004B3101">
        <w:rPr>
          <w:color w:val="auto"/>
          <w:w w:val="99"/>
          <w:lang w:eastAsia="en-US"/>
        </w:rPr>
        <w:t xml:space="preserve">Die individuelle Grundvergütung des Mitarbeiters soll innerhalb des Gehaltsbands </w:t>
      </w:r>
      <w:r w:rsidRPr="004B3101">
        <w:rPr>
          <w:color w:val="auto"/>
          <w:spacing w:val="-1"/>
          <w:w w:val="99"/>
          <w:lang w:eastAsia="en-US"/>
        </w:rPr>
        <w:t>der</w:t>
      </w:r>
      <w:r w:rsidRPr="004B3101">
        <w:rPr>
          <w:color w:val="auto"/>
          <w:spacing w:val="-1"/>
          <w:w w:val="99"/>
          <w:lang w:eastAsia="en-US"/>
        </w:rPr>
        <w:softHyphen/>
        <w:t>jeni</w:t>
      </w:r>
      <w:r w:rsidRPr="004B3101">
        <w:rPr>
          <w:color w:val="auto"/>
          <w:spacing w:val="-1"/>
          <w:w w:val="99"/>
          <w:lang w:eastAsia="en-US"/>
        </w:rPr>
        <w:softHyphen/>
        <w:t>gen</w:t>
      </w:r>
      <w:r>
        <w:rPr>
          <w:color w:val="auto"/>
          <w:spacing w:val="-1"/>
          <w:lang w:eastAsia="en-US"/>
        </w:rPr>
        <w:t xml:space="preserve"> Gehaltsgruppe liegen, die dem Mitarbeiter </w:t>
      </w:r>
      <w:r>
        <w:rPr>
          <w:color w:val="auto"/>
          <w:spacing w:val="2"/>
          <w:sz w:val="21"/>
          <w:szCs w:val="21"/>
          <w:lang w:eastAsia="en-US"/>
        </w:rPr>
        <w:t xml:space="preserve">aufgrund der Bewertung </w:t>
      </w:r>
      <w:r>
        <w:rPr>
          <w:color w:val="auto"/>
          <w:spacing w:val="6"/>
          <w:lang w:eastAsia="en-US"/>
        </w:rPr>
        <w:t xml:space="preserve">seiner </w:t>
      </w:r>
      <w:r>
        <w:rPr>
          <w:color w:val="auto"/>
          <w:spacing w:val="1"/>
          <w:lang w:eastAsia="en-US"/>
        </w:rPr>
        <w:t>Arbeitskraft zuge</w:t>
      </w:r>
      <w:r>
        <w:rPr>
          <w:color w:val="auto"/>
          <w:spacing w:val="1"/>
          <w:lang w:eastAsia="en-US"/>
        </w:rPr>
        <w:softHyphen/>
        <w:t>ordnet ist.</w:t>
      </w:r>
    </w:p>
    <w:p w14:paraId="2B6FC2FD" w14:textId="77777777" w:rsidR="003820F1" w:rsidRDefault="003820F1" w:rsidP="003820F1">
      <w:pPr>
        <w:pStyle w:val="Liste1"/>
        <w:tabs>
          <w:tab w:val="clear" w:pos="1494"/>
          <w:tab w:val="left" w:pos="425"/>
          <w:tab w:val="left" w:pos="851"/>
          <w:tab w:val="num" w:pos="1891"/>
        </w:tabs>
        <w:spacing w:before="60" w:after="60" w:line="280" w:lineRule="exact"/>
        <w:ind w:left="425" w:hanging="425"/>
        <w:rPr>
          <w:color w:val="auto"/>
          <w:spacing w:val="2"/>
          <w:lang w:eastAsia="en-US"/>
        </w:rPr>
      </w:pPr>
      <w:r>
        <w:rPr>
          <w:color w:val="auto"/>
          <w:spacing w:val="5"/>
          <w:lang w:eastAsia="en-US"/>
        </w:rPr>
        <w:tab/>
        <w:t>Bei der Einstellung</w:t>
      </w:r>
      <w:r>
        <w:rPr>
          <w:color w:val="auto"/>
        </w:rPr>
        <w:t xml:space="preserve"> neuer Mitarbeiter w</w:t>
      </w:r>
      <w:r>
        <w:rPr>
          <w:color w:val="auto"/>
          <w:spacing w:val="2"/>
          <w:lang w:eastAsia="en-US"/>
        </w:rPr>
        <w:t xml:space="preserve">ird der Arbeitskraftwert vorsichtig geschätzt </w:t>
      </w:r>
      <w:r>
        <w:rPr>
          <w:color w:val="auto"/>
          <w:spacing w:val="-5"/>
          <w:lang w:eastAsia="en-US"/>
        </w:rPr>
        <w:t xml:space="preserve">und das Anfangsgehalt auf die Untergrenze des Gehaltsbands der entsprechenden </w:t>
      </w:r>
      <w:r>
        <w:rPr>
          <w:color w:val="auto"/>
          <w:spacing w:val="2"/>
          <w:lang w:eastAsia="en-US"/>
        </w:rPr>
        <w:t>Gehaltsgruppe vereinbart.</w:t>
      </w:r>
    </w:p>
    <w:p w14:paraId="7998249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lastRenderedPageBreak/>
        <w:t>(3)</w:t>
      </w:r>
      <w:r>
        <w:rPr>
          <w:rStyle w:val="Fett"/>
          <w:color w:val="auto"/>
        </w:rPr>
        <w:tab/>
        <w:t>Gehaltsveränderung</w:t>
      </w:r>
    </w:p>
    <w:p w14:paraId="5CBFEBE0" w14:textId="77777777" w:rsidR="003820F1" w:rsidRDefault="003820F1" w:rsidP="003820F1">
      <w:pPr>
        <w:pStyle w:val="Liste1"/>
        <w:tabs>
          <w:tab w:val="clear" w:pos="1494"/>
          <w:tab w:val="left" w:pos="425"/>
          <w:tab w:val="left" w:pos="851"/>
          <w:tab w:val="num" w:pos="1891"/>
        </w:tabs>
        <w:spacing w:before="60" w:after="60" w:line="280" w:lineRule="exact"/>
        <w:ind w:left="425" w:hanging="425"/>
        <w:rPr>
          <w:color w:val="auto"/>
          <w:spacing w:val="4"/>
          <w:lang w:eastAsia="en-US"/>
        </w:rPr>
      </w:pPr>
      <w:r>
        <w:rPr>
          <w:color w:val="auto"/>
          <w:lang w:eastAsia="en-US"/>
        </w:rPr>
        <w:tab/>
        <w:t xml:space="preserve">Die Geschäftsleitung entscheidet im November eines jeden Jahres, ob und in welcher </w:t>
      </w:r>
      <w:r>
        <w:rPr>
          <w:color w:val="auto"/>
          <w:spacing w:val="1"/>
          <w:lang w:eastAsia="en-US"/>
        </w:rPr>
        <w:t>Hö</w:t>
      </w:r>
      <w:r>
        <w:rPr>
          <w:color w:val="auto"/>
          <w:spacing w:val="1"/>
          <w:lang w:eastAsia="en-US"/>
        </w:rPr>
        <w:softHyphen/>
        <w:t xml:space="preserve">he für den einzelnen Mitarbeiter eine </w:t>
      </w:r>
      <w:r>
        <w:rPr>
          <w:color w:val="auto"/>
        </w:rPr>
        <w:t>Gehaltsveränderung innerhalb de</w:t>
      </w:r>
      <w:r>
        <w:rPr>
          <w:color w:val="auto"/>
          <w:spacing w:val="5"/>
          <w:lang w:eastAsia="en-US"/>
        </w:rPr>
        <w:t xml:space="preserve">s </w:t>
      </w:r>
      <w:r>
        <w:rPr>
          <w:color w:val="auto"/>
          <w:lang w:eastAsia="en-US"/>
        </w:rPr>
        <w:t xml:space="preserve">Gehaltsbands seiner Gehaltsgruppe bzw. eine Beförderung oder auch Rückstufung in </w:t>
      </w:r>
      <w:r>
        <w:rPr>
          <w:color w:val="auto"/>
          <w:spacing w:val="2"/>
          <w:lang w:eastAsia="en-US"/>
        </w:rPr>
        <w:t>die nächste Ge</w:t>
      </w:r>
      <w:r>
        <w:rPr>
          <w:color w:val="auto"/>
          <w:spacing w:val="2"/>
          <w:lang w:eastAsia="en-US"/>
        </w:rPr>
        <w:softHyphen/>
        <w:t>halts</w:t>
      </w:r>
      <w:r>
        <w:rPr>
          <w:color w:val="auto"/>
          <w:spacing w:val="2"/>
          <w:lang w:eastAsia="en-US"/>
        </w:rPr>
        <w:softHyphen/>
        <w:t xml:space="preserve">gruppe gerechtfertigt ist. Dabei werden Tätigkeitsveränderungen, </w:t>
      </w:r>
      <w:r>
        <w:rPr>
          <w:color w:val="auto"/>
          <w:spacing w:val="-2"/>
          <w:lang w:eastAsia="en-US"/>
        </w:rPr>
        <w:t xml:space="preserve">Wissensstand und Können sowie Persönlichkeit und Einsatzmöglichkeiten des </w:t>
      </w:r>
      <w:r>
        <w:rPr>
          <w:color w:val="auto"/>
          <w:spacing w:val="4"/>
          <w:lang w:eastAsia="en-US"/>
        </w:rPr>
        <w:t>Mitarbeiters berücksichtigt.</w:t>
      </w:r>
    </w:p>
    <w:p w14:paraId="49C8CD83" w14:textId="77777777" w:rsidR="003820F1" w:rsidRDefault="003820F1" w:rsidP="003820F1">
      <w:pPr>
        <w:pStyle w:val="Liste1"/>
        <w:tabs>
          <w:tab w:val="clear" w:pos="1494"/>
          <w:tab w:val="left" w:pos="425"/>
          <w:tab w:val="left" w:pos="851"/>
          <w:tab w:val="num" w:pos="1891"/>
        </w:tabs>
        <w:spacing w:before="60" w:after="60" w:line="280" w:lineRule="exact"/>
        <w:ind w:left="425" w:hanging="425"/>
        <w:rPr>
          <w:color w:val="auto"/>
          <w:spacing w:val="6"/>
          <w:lang w:eastAsia="en-US"/>
        </w:rPr>
      </w:pPr>
      <w:r>
        <w:rPr>
          <w:color w:val="auto"/>
          <w:spacing w:val="-3"/>
          <w:lang w:eastAsia="en-US"/>
        </w:rPr>
        <w:tab/>
        <w:t xml:space="preserve">Der Mitarbeiter wird im Dezember von einer Veränderung oder Nichtveränderung </w:t>
      </w:r>
      <w:r>
        <w:rPr>
          <w:color w:val="auto"/>
          <w:spacing w:val="-2"/>
          <w:lang w:eastAsia="en-US"/>
        </w:rPr>
        <w:t>seiner Grund</w:t>
      </w:r>
      <w:r>
        <w:rPr>
          <w:color w:val="auto"/>
          <w:spacing w:val="-2"/>
          <w:lang w:eastAsia="en-US"/>
        </w:rPr>
        <w:softHyphen/>
        <w:t xml:space="preserve">vergütung in Kenntnis gesetzt. Die Veränderungen werden am 1. Januar </w:t>
      </w:r>
      <w:r>
        <w:rPr>
          <w:color w:val="auto"/>
          <w:spacing w:val="6"/>
          <w:lang w:eastAsia="en-US"/>
        </w:rPr>
        <w:t>wirksam.</w:t>
      </w:r>
    </w:p>
    <w:p w14:paraId="3780EBF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(4)</w:t>
      </w:r>
      <w:r>
        <w:rPr>
          <w:rStyle w:val="Fett"/>
          <w:color w:val="auto"/>
        </w:rPr>
        <w:tab/>
        <w:t>Veränderungen der Gehaltsstruktur</w:t>
      </w:r>
    </w:p>
    <w:p w14:paraId="67E9203F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lang w:eastAsia="en-US"/>
        </w:rPr>
      </w:pPr>
      <w:r>
        <w:rPr>
          <w:color w:val="auto"/>
          <w:spacing w:val="6"/>
          <w:lang w:eastAsia="en-US"/>
        </w:rPr>
        <w:tab/>
        <w:t>Alle zwei Jahre wird di</w:t>
      </w:r>
      <w:r>
        <w:rPr>
          <w:color w:val="auto"/>
        </w:rPr>
        <w:t>e Gehaltstabelle geprüft u</w:t>
      </w:r>
      <w:r>
        <w:rPr>
          <w:color w:val="auto"/>
          <w:spacing w:val="2"/>
          <w:lang w:eastAsia="en-US"/>
        </w:rPr>
        <w:t xml:space="preserve">nd ggf. verändert. Veränderungen orientieren sich an den Gehältern im Arbeitsmarkt und an der wirtschaftlichen Situation der </w:t>
      </w:r>
      <w:r>
        <w:rPr>
          <w:color w:val="auto"/>
          <w:lang w:eastAsia="en-US"/>
        </w:rPr>
        <w:t>Firma, eine allgemeine Gehaltserhöhung wird dadurch nicht ausgelöst.</w:t>
      </w:r>
    </w:p>
    <w:p w14:paraId="7586EF9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(5)</w:t>
      </w:r>
      <w:r>
        <w:rPr>
          <w:rStyle w:val="Fett"/>
          <w:color w:val="auto"/>
        </w:rPr>
        <w:tab/>
        <w:t>Alternative Vergütungen</w:t>
      </w:r>
    </w:p>
    <w:p w14:paraId="54A28AD6" w14:textId="77777777" w:rsidR="003820F1" w:rsidRDefault="003820F1" w:rsidP="003820F1">
      <w:pPr>
        <w:pStyle w:val="Liste1"/>
        <w:numPr>
          <w:ilvl w:val="0"/>
          <w:numId w:val="16"/>
        </w:numPr>
        <w:tabs>
          <w:tab w:val="clear" w:pos="720"/>
          <w:tab w:val="num" w:pos="284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</w:rPr>
      </w:pPr>
      <w:r>
        <w:rPr>
          <w:color w:val="auto"/>
          <w:lang w:eastAsia="en-US"/>
        </w:rPr>
        <w:t xml:space="preserve">Einzelnen Mitarbeitern werden anstelle von Gehalt </w:t>
      </w:r>
      <w:r>
        <w:rPr>
          <w:color w:val="auto"/>
        </w:rPr>
        <w:t>Sachleistungen (z.B. Dienstwagen) oder indirekte Zahlungen (z.B. Direktversicherungen) gewährt, um einkommens</w:t>
      </w:r>
      <w:r>
        <w:rPr>
          <w:color w:val="auto"/>
        </w:rPr>
        <w:softHyphen/>
        <w:t>steuer</w:t>
      </w:r>
      <w:r>
        <w:rPr>
          <w:color w:val="auto"/>
        </w:rPr>
        <w:softHyphen/>
        <w:t>liche Vorteile für den Mitarbeiter zu realisieren. Die vereinbarten (monatlichen) Geldwerte dieser Vergütungen, basierend auf den Arbeitgeberkosten, sind feste Be</w:t>
      </w:r>
      <w:r>
        <w:rPr>
          <w:color w:val="auto"/>
        </w:rPr>
        <w:softHyphen/>
        <w:t>standteile der Grundvergütung.</w:t>
      </w:r>
    </w:p>
    <w:p w14:paraId="7AB50DE1" w14:textId="77777777" w:rsidR="003820F1" w:rsidRDefault="003820F1" w:rsidP="003820F1">
      <w:pPr>
        <w:pStyle w:val="Liste1"/>
        <w:numPr>
          <w:ilvl w:val="0"/>
          <w:numId w:val="16"/>
        </w:numPr>
        <w:tabs>
          <w:tab w:val="clear" w:pos="720"/>
          <w:tab w:val="clear" w:pos="1928"/>
          <w:tab w:val="left" w:pos="284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  <w:spacing w:val="-3"/>
          <w:lang w:eastAsia="en-US"/>
        </w:rPr>
      </w:pPr>
      <w:r>
        <w:rPr>
          <w:color w:val="auto"/>
          <w:spacing w:val="-2"/>
          <w:lang w:eastAsia="en-US"/>
        </w:rPr>
        <w:t xml:space="preserve">Wird eine Sachleistung oder indirekte Zahlung für einen vollen Kalendermonat </w:t>
      </w:r>
      <w:r>
        <w:rPr>
          <w:color w:val="auto"/>
          <w:spacing w:val="-3"/>
          <w:lang w:eastAsia="en-US"/>
        </w:rPr>
        <w:t>ausge</w:t>
      </w:r>
      <w:r>
        <w:rPr>
          <w:color w:val="auto"/>
          <w:spacing w:val="-3"/>
          <w:lang w:eastAsia="en-US"/>
        </w:rPr>
        <w:softHyphen/>
        <w:t>setzt oder nicht weitergeführt, so wird zum Ausgleich das Grundgehalt (Geldanteil der Grundvergütung) entsprechend erhöht.</w:t>
      </w:r>
    </w:p>
    <w:p w14:paraId="0EE25E49" w14:textId="77777777" w:rsidR="003820F1" w:rsidRDefault="003820F1" w:rsidP="003820F1">
      <w:pPr>
        <w:pStyle w:val="Liste1"/>
        <w:numPr>
          <w:ilvl w:val="0"/>
          <w:numId w:val="16"/>
        </w:numPr>
        <w:tabs>
          <w:tab w:val="clear" w:pos="720"/>
          <w:tab w:val="clear" w:pos="1928"/>
          <w:tab w:val="left" w:pos="284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  <w:lang w:eastAsia="en-US"/>
        </w:rPr>
      </w:pPr>
      <w:r>
        <w:rPr>
          <w:color w:val="auto"/>
          <w:spacing w:val="-3"/>
          <w:lang w:eastAsia="en-US"/>
        </w:rPr>
        <w:t xml:space="preserve">Neue Sachleistungen oder indirekte Zahlungen werden nur anstelle von </w:t>
      </w:r>
      <w:r>
        <w:rPr>
          <w:color w:val="auto"/>
          <w:spacing w:val="-3"/>
          <w:lang w:eastAsia="en-US"/>
        </w:rPr>
        <w:tab/>
      </w:r>
      <w:r>
        <w:rPr>
          <w:color w:val="auto"/>
          <w:lang w:eastAsia="en-US"/>
        </w:rPr>
        <w:t>Grundgehalts</w:t>
      </w:r>
      <w:r>
        <w:rPr>
          <w:color w:val="auto"/>
          <w:lang w:eastAsia="en-US"/>
        </w:rPr>
        <w:softHyphen/>
        <w:t>erhöhungen bzw. bei Grundgehaltsverzicht gewährt.</w:t>
      </w:r>
    </w:p>
    <w:p w14:paraId="1D47DF94" w14:textId="77777777" w:rsidR="003820F1" w:rsidRDefault="003820F1" w:rsidP="003820F1">
      <w:pPr>
        <w:pStyle w:val="Liste1"/>
        <w:numPr>
          <w:ilvl w:val="0"/>
          <w:numId w:val="16"/>
        </w:numPr>
        <w:tabs>
          <w:tab w:val="clear" w:pos="720"/>
          <w:tab w:val="clear" w:pos="1928"/>
          <w:tab w:val="left" w:pos="284"/>
          <w:tab w:val="left" w:pos="425"/>
          <w:tab w:val="left" w:pos="851"/>
        </w:tabs>
        <w:spacing w:before="60" w:after="60" w:line="280" w:lineRule="exact"/>
        <w:ind w:left="850" w:hanging="425"/>
        <w:rPr>
          <w:color w:val="auto"/>
          <w:spacing w:val="3"/>
          <w:lang w:eastAsia="en-US"/>
        </w:rPr>
      </w:pPr>
      <w:r>
        <w:rPr>
          <w:color w:val="auto"/>
          <w:spacing w:val="3"/>
          <w:lang w:eastAsia="en-US"/>
        </w:rPr>
        <w:t xml:space="preserve">Für die steuerliche Behandlung alternativer Vergütungen gelten die einschlägigen </w:t>
      </w:r>
      <w:r>
        <w:rPr>
          <w:color w:val="auto"/>
          <w:spacing w:val="3"/>
          <w:lang w:eastAsia="en-US"/>
        </w:rPr>
        <w:tab/>
        <w:t>Bestimmungen des Einkommenssteuergesetzes (EStG) sowie der Einkommens</w:t>
      </w:r>
      <w:r>
        <w:rPr>
          <w:color w:val="auto"/>
          <w:spacing w:val="3"/>
          <w:lang w:eastAsia="en-US"/>
        </w:rPr>
        <w:softHyphen/>
        <w:t>steuer-Richtlinien.</w:t>
      </w:r>
    </w:p>
    <w:p w14:paraId="6958E80F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12CB899A" w14:textId="77777777" w:rsidR="003820F1" w:rsidRPr="00D03409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D03409">
        <w:rPr>
          <w:rStyle w:val="Fett"/>
          <w:color w:val="auto"/>
          <w:sz w:val="24"/>
        </w:rPr>
        <w:t>§ 4 Leistungsprämie</w:t>
      </w:r>
    </w:p>
    <w:p w14:paraId="256A9FF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(1)</w:t>
      </w:r>
      <w:r>
        <w:rPr>
          <w:rStyle w:val="Fett"/>
          <w:color w:val="auto"/>
        </w:rPr>
        <w:tab/>
        <w:t>Ergebniswerte</w:t>
      </w:r>
    </w:p>
    <w:p w14:paraId="06881B2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</w:rPr>
        <w:tab/>
        <w:t>Grundsätzlich werden nur brauchbare und benötigte Leistungsergebnisse gewertet. Un</w:t>
      </w:r>
      <w:r>
        <w:rPr>
          <w:color w:val="auto"/>
        </w:rPr>
        <w:softHyphen/>
        <w:t>voll</w:t>
      </w:r>
      <w:r>
        <w:rPr>
          <w:color w:val="auto"/>
        </w:rPr>
        <w:softHyphen/>
        <w:t>ständige, unbrauchbare, zu spät vorgelegte Ergebnisse mit Qualitätsmängeln und solche, die nur durch unverhältnismäßig hohen Kosteneinsatz fertig gestellt werden konnten, kön</w:t>
      </w:r>
      <w:r>
        <w:rPr>
          <w:color w:val="auto"/>
        </w:rPr>
        <w:softHyphen/>
        <w:t>nen nicht honoriert werden. Leistungsergebnisse, die nicht gebraucht werden, sind wertlos. Anstrengungen und Bemühungen, die zu unbrauchbaren oder nicht benötigten Er</w:t>
      </w:r>
      <w:r>
        <w:rPr>
          <w:color w:val="auto"/>
        </w:rPr>
        <w:softHyphen/>
        <w:t>geb</w:t>
      </w:r>
      <w:r>
        <w:rPr>
          <w:color w:val="auto"/>
        </w:rPr>
        <w:softHyphen/>
        <w:t>nis</w:t>
      </w:r>
      <w:r>
        <w:rPr>
          <w:color w:val="auto"/>
        </w:rPr>
        <w:softHyphen/>
        <w:t>sen führen, sind ebenso wertlos. Auch hervorragendes Verhalten und der Einsatz hohen Wissens können den Wert eines unbrauchbaren Leistungsergebnisses nicht verbessern.</w:t>
      </w:r>
    </w:p>
    <w:p w14:paraId="2E867F23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rStyle w:val="Fett"/>
          <w:color w:val="auto"/>
        </w:rPr>
        <w:t>(2)</w:t>
      </w:r>
      <w:r>
        <w:rPr>
          <w:rStyle w:val="Fett"/>
          <w:color w:val="auto"/>
        </w:rPr>
        <w:tab/>
        <w:t>Bewertung</w:t>
      </w:r>
    </w:p>
    <w:p w14:paraId="78C81EA1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lang w:eastAsia="en-US"/>
        </w:rPr>
      </w:pPr>
      <w:r>
        <w:rPr>
          <w:color w:val="auto"/>
          <w:spacing w:val="-1"/>
          <w:lang w:eastAsia="en-US"/>
        </w:rPr>
        <w:tab/>
        <w:t xml:space="preserve">Alle drei Monate werden die </w:t>
      </w:r>
      <w:r>
        <w:rPr>
          <w:color w:val="auto"/>
          <w:lang w:eastAsia="en-US"/>
        </w:rPr>
        <w:t xml:space="preserve">Leistungsergebnisse des Mitarbeiters </w:t>
      </w:r>
      <w:r>
        <w:rPr>
          <w:color w:val="auto"/>
          <w:spacing w:val="-7"/>
          <w:lang w:eastAsia="en-US"/>
        </w:rPr>
        <w:t xml:space="preserve">im vorausgegangenen </w:t>
      </w:r>
      <w:r>
        <w:rPr>
          <w:color w:val="auto"/>
          <w:lang w:eastAsia="en-US"/>
        </w:rPr>
        <w:t xml:space="preserve">Quartal nach den Grundsätzen von 4.1 anhand eines Formulars </w:t>
      </w:r>
      <w:r>
        <w:rPr>
          <w:color w:val="auto"/>
          <w:spacing w:val="-4"/>
          <w:lang w:eastAsia="en-US"/>
        </w:rPr>
        <w:t xml:space="preserve">beurteilt und bewertet. </w:t>
      </w:r>
      <w:r>
        <w:rPr>
          <w:color w:val="auto"/>
          <w:lang w:eastAsia="en-US"/>
        </w:rPr>
        <w:t xml:space="preserve">Der Mitarbeiter selbst bestimmt die drei wichtigsten Leistungsergebnisse, die er für den </w:t>
      </w:r>
      <w:r>
        <w:rPr>
          <w:color w:val="auto"/>
          <w:lang w:eastAsia="en-US"/>
        </w:rPr>
        <w:lastRenderedPageBreak/>
        <w:t>Ge</w:t>
      </w:r>
      <w:r>
        <w:rPr>
          <w:color w:val="auto"/>
          <w:lang w:eastAsia="en-US"/>
        </w:rPr>
        <w:softHyphen/>
        <w:t>schäfts</w:t>
      </w:r>
      <w:r>
        <w:rPr>
          <w:color w:val="auto"/>
          <w:lang w:eastAsia="en-US"/>
        </w:rPr>
        <w:softHyphen/>
        <w:t>erfolg der Firma im vorausgegangenen Quartal erzielt hat. Der Vorgesetzte kom</w:t>
      </w:r>
      <w:r>
        <w:rPr>
          <w:color w:val="auto"/>
          <w:lang w:eastAsia="en-US"/>
        </w:rPr>
        <w:softHyphen/>
        <w:t>men</w:t>
      </w:r>
      <w:r>
        <w:rPr>
          <w:color w:val="auto"/>
          <w:lang w:eastAsia="en-US"/>
        </w:rPr>
        <w:softHyphen/>
        <w:t>tiert und gibt seine Meinung dazu. Im gemeinsamen Gespräch entwickeln Mitarbeiter und Vorgesetzter die Hauptergebnisziele (nicht Verhaltensziel) für das Folgequartal.</w:t>
      </w:r>
    </w:p>
    <w:p w14:paraId="304BFA2E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rStyle w:val="Fett"/>
          <w:b w:val="0"/>
          <w:color w:val="auto"/>
        </w:rPr>
      </w:pPr>
      <w:r>
        <w:rPr>
          <w:rStyle w:val="Fett"/>
          <w:color w:val="auto"/>
        </w:rPr>
        <w:tab/>
        <w:t>(Bewertungsbogen siehe Anlage)</w:t>
      </w:r>
    </w:p>
    <w:p w14:paraId="6DC97B91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(3)</w:t>
      </w:r>
      <w:r>
        <w:rPr>
          <w:rStyle w:val="Fett"/>
          <w:color w:val="auto"/>
        </w:rPr>
        <w:tab/>
        <w:t>Höhe der Leistungsprämie</w:t>
      </w:r>
    </w:p>
    <w:p w14:paraId="6596671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  <w:spacing w:val="-5"/>
          <w:lang w:eastAsia="en-US"/>
        </w:rPr>
        <w:tab/>
        <w:t xml:space="preserve">Die Geschäftsleistung bestimmt die Höhe der Leistungsprämie für die im vergangenen </w:t>
      </w:r>
      <w:r>
        <w:rPr>
          <w:color w:val="auto"/>
          <w:spacing w:val="-1"/>
          <w:lang w:eastAsia="en-US"/>
        </w:rPr>
        <w:t xml:space="preserve">Quartal erbrachten Leistungsergebnisse des Mitarbeiters. Wenn die Ergebnisse die </w:t>
      </w:r>
      <w:r>
        <w:rPr>
          <w:color w:val="auto"/>
          <w:lang w:eastAsia="en-US"/>
        </w:rPr>
        <w:t>normalen Er</w:t>
      </w:r>
      <w:r>
        <w:rPr>
          <w:color w:val="auto"/>
          <w:lang w:eastAsia="en-US"/>
        </w:rPr>
        <w:softHyphen/>
        <w:t>war</w:t>
      </w:r>
      <w:r>
        <w:rPr>
          <w:color w:val="auto"/>
          <w:lang w:eastAsia="en-US"/>
        </w:rPr>
        <w:softHyphen/>
        <w:t xml:space="preserve">tungen übertreffen, so liegt die Leistungsprämie bei </w:t>
      </w:r>
      <w:r>
        <w:rPr>
          <w:color w:val="auto"/>
          <w:spacing w:val="5"/>
          <w:lang w:eastAsia="en-US"/>
        </w:rPr>
        <w:t xml:space="preserve">etwa </w:t>
      </w:r>
      <w:r>
        <w:rPr>
          <w:color w:val="auto"/>
          <w:spacing w:val="-6"/>
          <w:lang w:eastAsia="en-US"/>
        </w:rPr>
        <w:t>zehn Prozent der Grundver</w:t>
      </w:r>
      <w:r>
        <w:rPr>
          <w:color w:val="auto"/>
          <w:spacing w:val="-6"/>
          <w:lang w:eastAsia="en-US"/>
        </w:rPr>
        <w:softHyphen/>
        <w:t>gü</w:t>
      </w:r>
      <w:r>
        <w:rPr>
          <w:color w:val="auto"/>
          <w:spacing w:val="-6"/>
          <w:lang w:eastAsia="en-US"/>
        </w:rPr>
        <w:softHyphen/>
        <w:t xml:space="preserve">tung. </w:t>
      </w:r>
      <w:r>
        <w:rPr>
          <w:color w:val="auto"/>
          <w:spacing w:val="-3"/>
          <w:lang w:eastAsia="en-US"/>
        </w:rPr>
        <w:t xml:space="preserve">Für hervorragende </w:t>
      </w:r>
      <w:r>
        <w:rPr>
          <w:color w:val="auto"/>
          <w:spacing w:val="-8"/>
          <w:lang w:eastAsia="en-US"/>
        </w:rPr>
        <w:t xml:space="preserve">Leistungsergebnisse können bis zu 20 Prozent </w:t>
      </w:r>
      <w:r>
        <w:rPr>
          <w:color w:val="auto"/>
          <w:spacing w:val="-1"/>
          <w:lang w:eastAsia="en-US"/>
        </w:rPr>
        <w:t>der Grundver</w:t>
      </w:r>
      <w:r>
        <w:rPr>
          <w:color w:val="auto"/>
          <w:spacing w:val="-1"/>
          <w:lang w:eastAsia="en-US"/>
        </w:rPr>
        <w:softHyphen/>
        <w:t xml:space="preserve">gütung gewährt werden. </w:t>
      </w:r>
      <w:r>
        <w:rPr>
          <w:color w:val="auto"/>
          <w:spacing w:val="-5"/>
          <w:lang w:eastAsia="en-US"/>
        </w:rPr>
        <w:t xml:space="preserve">Außerordentliche Beiträge </w:t>
      </w:r>
      <w:r>
        <w:rPr>
          <w:color w:val="auto"/>
          <w:lang w:eastAsia="en-US"/>
        </w:rPr>
        <w:t>zum Geschäftserfolg können in Einzelfällen ge</w:t>
      </w:r>
      <w:r>
        <w:rPr>
          <w:color w:val="auto"/>
          <w:lang w:eastAsia="en-US"/>
        </w:rPr>
        <w:softHyphen/>
        <w:t>son</w:t>
      </w:r>
      <w:r>
        <w:rPr>
          <w:color w:val="auto"/>
          <w:lang w:eastAsia="en-US"/>
        </w:rPr>
        <w:softHyphen/>
        <w:t xml:space="preserve">dert belohnt werden. Andererseits fällt die Leistungsprämie bei Fehlern der erwarteten Leistungsergebnisse auf </w:t>
      </w:r>
      <w:proofErr w:type="spellStart"/>
      <w:r>
        <w:rPr>
          <w:color w:val="auto"/>
          <w:lang w:eastAsia="en-US"/>
        </w:rPr>
        <w:t>Null</w:t>
      </w:r>
      <w:proofErr w:type="spellEnd"/>
      <w:r>
        <w:rPr>
          <w:color w:val="auto"/>
          <w:lang w:eastAsia="en-US"/>
        </w:rPr>
        <w:t>.</w:t>
      </w:r>
    </w:p>
    <w:p w14:paraId="55FE535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18D03D53" w14:textId="77777777" w:rsidR="003820F1" w:rsidRPr="00D03409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D03409">
        <w:rPr>
          <w:rStyle w:val="Fett"/>
          <w:color w:val="auto"/>
          <w:sz w:val="24"/>
        </w:rPr>
        <w:t>§ 5 Erfolgsbeteiligung</w:t>
      </w:r>
    </w:p>
    <w:p w14:paraId="07CD5147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(1)</w:t>
      </w:r>
      <w:r>
        <w:rPr>
          <w:rStyle w:val="Fett"/>
          <w:color w:val="auto"/>
        </w:rPr>
        <w:tab/>
        <w:t>Normalkalkulation</w:t>
      </w:r>
    </w:p>
    <w:p w14:paraId="6AB3C62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</w:rPr>
      </w:pPr>
      <w:r>
        <w:rPr>
          <w:color w:val="auto"/>
          <w:lang w:eastAsia="en-US"/>
        </w:rPr>
        <w:tab/>
        <w:t xml:space="preserve">Der Grad der Geschäftszielerreichung bestimmt die Erfolgsbeteiligungs-Ausschüttung an die </w:t>
      </w:r>
      <w:r>
        <w:rPr>
          <w:color w:val="auto"/>
          <w:spacing w:val="5"/>
          <w:lang w:eastAsia="en-US"/>
        </w:rPr>
        <w:t>Mitarbeiter.</w:t>
      </w:r>
    </w:p>
    <w:p w14:paraId="0DC5398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</w:rPr>
      </w:pPr>
      <w:r>
        <w:rPr>
          <w:color w:val="auto"/>
          <w:spacing w:val="-3"/>
          <w:lang w:eastAsia="en-US"/>
        </w:rPr>
        <w:t xml:space="preserve">Vor diesem Hintergrund werden die </w:t>
      </w:r>
      <w:r>
        <w:rPr>
          <w:color w:val="auto"/>
        </w:rPr>
        <w:t xml:space="preserve">Personalkosten so kalkuliert, dass bei normalem Geschäftsverlauf den Mitarbeitern insgesamt eine Erfolgsbeteiligung in Höhe von etwa zehn Prozent der Jahresgrundvergütungssumme </w:t>
      </w:r>
      <w:proofErr w:type="spellStart"/>
      <w:r>
        <w:rPr>
          <w:color w:val="auto"/>
        </w:rPr>
        <w:t>zuteil wer</w:t>
      </w:r>
      <w:r>
        <w:rPr>
          <w:color w:val="auto"/>
          <w:spacing w:val="1"/>
          <w:lang w:eastAsia="en-US"/>
        </w:rPr>
        <w:t>den</w:t>
      </w:r>
      <w:proofErr w:type="spellEnd"/>
      <w:r>
        <w:rPr>
          <w:color w:val="auto"/>
          <w:vertAlign w:val="superscript"/>
          <w:lang w:eastAsia="en-US"/>
        </w:rPr>
        <w:t xml:space="preserve"> </w:t>
      </w:r>
      <w:r>
        <w:rPr>
          <w:color w:val="auto"/>
          <w:spacing w:val="3"/>
          <w:lang w:eastAsia="en-US"/>
        </w:rPr>
        <w:t>kann.</w:t>
      </w:r>
    </w:p>
    <w:p w14:paraId="623BEF50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lang w:eastAsia="en-US"/>
        </w:rPr>
      </w:pPr>
      <w:r>
        <w:rPr>
          <w:color w:val="auto"/>
          <w:lang w:eastAsia="en-US"/>
        </w:rPr>
        <w:tab/>
        <w:t>„Normaler Geschäftsverlauf" bedeutet in diesem Zusammenhang:</w:t>
      </w:r>
    </w:p>
    <w:p w14:paraId="3058CE05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  <w:lang w:eastAsia="en-US"/>
        </w:rPr>
      </w:pPr>
      <w:r>
        <w:rPr>
          <w:color w:val="auto"/>
          <w:lang w:eastAsia="en-US"/>
        </w:rPr>
        <w:t>Die geplanten Umsätze werden erreicht.</w:t>
      </w:r>
    </w:p>
    <w:p w14:paraId="59E45641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  <w:lang w:eastAsia="en-US"/>
        </w:rPr>
      </w:pPr>
      <w:r>
        <w:rPr>
          <w:color w:val="auto"/>
          <w:spacing w:val="-2"/>
          <w:lang w:eastAsia="en-US"/>
        </w:rPr>
        <w:t xml:space="preserve">Die geplanten Aufwandszahlen (Stunden) werden eingehalten, das kann jeder </w:t>
      </w:r>
      <w:r>
        <w:rPr>
          <w:color w:val="auto"/>
          <w:lang w:eastAsia="en-US"/>
        </w:rPr>
        <w:t>Mitar</w:t>
      </w:r>
      <w:r>
        <w:rPr>
          <w:color w:val="auto"/>
          <w:lang w:eastAsia="en-US"/>
        </w:rPr>
        <w:softHyphen/>
        <w:t>bei</w:t>
      </w:r>
      <w:r>
        <w:rPr>
          <w:color w:val="auto"/>
          <w:lang w:eastAsia="en-US"/>
        </w:rPr>
        <w:softHyphen/>
        <w:t>ter in seinem Bereich beeinflussen.</w:t>
      </w:r>
    </w:p>
    <w:p w14:paraId="27CDDD8C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  <w:lang w:eastAsia="en-US"/>
        </w:rPr>
      </w:pPr>
      <w:r>
        <w:rPr>
          <w:color w:val="auto"/>
          <w:spacing w:val="-2"/>
          <w:lang w:eastAsia="en-US"/>
        </w:rPr>
        <w:t xml:space="preserve">Es treten keine unvorhergesehenen Kosten auf (z.B. Kundenreklamationen), auch das kann </w:t>
      </w:r>
      <w:r>
        <w:rPr>
          <w:color w:val="auto"/>
          <w:spacing w:val="-2"/>
          <w:lang w:eastAsia="en-US"/>
        </w:rPr>
        <w:tab/>
        <w:t>jeder Mitarbeiter in seinem Bereich beeinflussen.</w:t>
      </w:r>
    </w:p>
    <w:p w14:paraId="1FB906D9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</w:rPr>
      </w:pPr>
      <w:r>
        <w:rPr>
          <w:color w:val="auto"/>
        </w:rPr>
        <w:t>Die Umsätze fallen gegenüber dem Vorjahr nicht zurück.</w:t>
      </w:r>
    </w:p>
    <w:p w14:paraId="18487525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</w:rPr>
      </w:pPr>
      <w:r>
        <w:rPr>
          <w:color w:val="auto"/>
        </w:rPr>
        <w:t>Die Kostenplanung wird eingehalten.</w:t>
      </w:r>
    </w:p>
    <w:p w14:paraId="2EC2DCC4" w14:textId="77777777" w:rsidR="003820F1" w:rsidRDefault="003820F1" w:rsidP="003820F1">
      <w:pPr>
        <w:pStyle w:val="Liste1"/>
        <w:numPr>
          <w:ilvl w:val="0"/>
          <w:numId w:val="17"/>
        </w:numPr>
        <w:tabs>
          <w:tab w:val="clear" w:pos="720"/>
          <w:tab w:val="clear" w:pos="1928"/>
          <w:tab w:val="left" w:pos="425"/>
          <w:tab w:val="left" w:pos="851"/>
        </w:tabs>
        <w:spacing w:before="0" w:after="60" w:line="280" w:lineRule="exact"/>
        <w:ind w:left="850" w:hanging="425"/>
        <w:rPr>
          <w:color w:val="auto"/>
          <w:lang w:eastAsia="en-US"/>
        </w:rPr>
      </w:pPr>
      <w:r>
        <w:rPr>
          <w:color w:val="auto"/>
          <w:lang w:eastAsia="en-US"/>
        </w:rPr>
        <w:t>Der geplante Deckungsbeitrag wird erreicht.</w:t>
      </w:r>
    </w:p>
    <w:p w14:paraId="049C1A4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 w:hanging="425"/>
        <w:rPr>
          <w:color w:val="auto"/>
          <w:lang w:eastAsia="en-US"/>
        </w:rPr>
      </w:pPr>
      <w:r>
        <w:rPr>
          <w:color w:val="auto"/>
          <w:lang w:eastAsia="en-US"/>
        </w:rPr>
        <w:tab/>
        <w:t xml:space="preserve">Bei Abweichungen von diesem Normalfall wird die Erfolgsbeteiligung im Ermessen der Geschäftsleitung entsprechend erhöht oder reduziert. Dabei ist zu berücksichtigen, </w:t>
      </w:r>
      <w:r>
        <w:rPr>
          <w:color w:val="auto"/>
        </w:rPr>
        <w:t>dass</w:t>
      </w:r>
      <w:r>
        <w:rPr>
          <w:color w:val="auto"/>
          <w:lang w:eastAsia="en-US"/>
        </w:rPr>
        <w:t xml:space="preserve"> </w:t>
      </w:r>
      <w:r>
        <w:rPr>
          <w:color w:val="auto"/>
          <w:spacing w:val="-9"/>
          <w:lang w:eastAsia="en-US"/>
        </w:rPr>
        <w:t xml:space="preserve">ein Teil </w:t>
      </w:r>
      <w:r>
        <w:rPr>
          <w:color w:val="auto"/>
          <w:lang w:eastAsia="en-US"/>
        </w:rPr>
        <w:t xml:space="preserve">des Unternehmensgewinns zukunftssichernd investiert und zurückgelegt werden muss und </w:t>
      </w:r>
      <w:r>
        <w:rPr>
          <w:color w:val="auto"/>
          <w:spacing w:val="-3"/>
          <w:lang w:eastAsia="en-US"/>
        </w:rPr>
        <w:t xml:space="preserve">dass </w:t>
      </w:r>
      <w:r>
        <w:rPr>
          <w:color w:val="auto"/>
          <w:lang w:eastAsia="en-US"/>
        </w:rPr>
        <w:t>eine Reihe von finanzwirtschaftlichen Vorschriften zu erfüllen ist.</w:t>
      </w:r>
    </w:p>
    <w:p w14:paraId="73A7FB4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(2)</w:t>
      </w:r>
      <w:r>
        <w:rPr>
          <w:rStyle w:val="Fett"/>
          <w:color w:val="auto"/>
        </w:rPr>
        <w:tab/>
        <w:t>Erfolgssteigerung</w:t>
      </w:r>
    </w:p>
    <w:p w14:paraId="0E60314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pacing w:val="-3"/>
          <w:lang w:eastAsia="en-US"/>
        </w:rPr>
      </w:pPr>
      <w:r>
        <w:rPr>
          <w:color w:val="auto"/>
          <w:spacing w:val="-2"/>
          <w:lang w:eastAsia="en-US"/>
        </w:rPr>
        <w:t xml:space="preserve">Natürlich gibt es auch erfolgssteigernde und erfolgsfördernde Faktoren, die die Belegschaft </w:t>
      </w:r>
      <w:r>
        <w:rPr>
          <w:color w:val="auto"/>
          <w:lang w:eastAsia="en-US"/>
        </w:rPr>
        <w:t xml:space="preserve">im </w:t>
      </w:r>
      <w:r>
        <w:rPr>
          <w:color w:val="auto"/>
          <w:spacing w:val="-2"/>
          <w:lang w:eastAsia="en-US"/>
        </w:rPr>
        <w:t xml:space="preserve">Team zu aller Wohl ausschöpfen kann, z.B. gegenseitiger Leistungsansporn, Stärkung </w:t>
      </w:r>
      <w:r>
        <w:rPr>
          <w:color w:val="auto"/>
          <w:lang w:eastAsia="en-US"/>
        </w:rPr>
        <w:t>des Qualitätsbewusstseins, Maßnahmen zur Kostensenkung, Kundengewinnung zur Auf</w:t>
      </w:r>
      <w:r>
        <w:rPr>
          <w:color w:val="auto"/>
          <w:lang w:eastAsia="en-US"/>
        </w:rPr>
        <w:softHyphen/>
        <w:t xml:space="preserve">trags- </w:t>
      </w:r>
      <w:r>
        <w:rPr>
          <w:color w:val="auto"/>
          <w:spacing w:val="-2"/>
          <w:lang w:eastAsia="en-US"/>
        </w:rPr>
        <w:t xml:space="preserve">und Ertragssteigerung. Einstellen unnötiger und nicht erfolgssteigender Arbeiten. </w:t>
      </w:r>
      <w:r>
        <w:rPr>
          <w:color w:val="auto"/>
          <w:spacing w:val="-3"/>
          <w:lang w:eastAsia="en-US"/>
        </w:rPr>
        <w:t>„</w:t>
      </w:r>
      <w:proofErr w:type="spellStart"/>
      <w:r>
        <w:rPr>
          <w:color w:val="auto"/>
          <w:spacing w:val="-3"/>
          <w:lang w:eastAsia="en-US"/>
        </w:rPr>
        <w:t>Mini</w:t>
      </w:r>
      <w:r>
        <w:rPr>
          <w:color w:val="auto"/>
          <w:spacing w:val="-3"/>
          <w:lang w:eastAsia="en-US"/>
        </w:rPr>
        <w:softHyphen/>
        <w:t>maxing</w:t>
      </w:r>
      <w:proofErr w:type="spellEnd"/>
      <w:r>
        <w:rPr>
          <w:color w:val="auto"/>
          <w:spacing w:val="-3"/>
          <w:lang w:eastAsia="en-US"/>
        </w:rPr>
        <w:t xml:space="preserve">" (d.h. Kostenminimierung und </w:t>
      </w:r>
      <w:r>
        <w:rPr>
          <w:color w:val="auto"/>
          <w:spacing w:val="-3"/>
          <w:lang w:eastAsia="en-US"/>
        </w:rPr>
        <w:lastRenderedPageBreak/>
        <w:t xml:space="preserve">Ertragsmaximierung) führt so zu höherer </w:t>
      </w:r>
      <w:proofErr w:type="spellStart"/>
      <w:r>
        <w:rPr>
          <w:color w:val="auto"/>
          <w:spacing w:val="-3"/>
          <w:lang w:eastAsia="en-US"/>
        </w:rPr>
        <w:t>Erfolgsbe</w:t>
      </w:r>
      <w:r>
        <w:rPr>
          <w:color w:val="auto"/>
          <w:spacing w:val="-3"/>
          <w:lang w:eastAsia="en-US"/>
        </w:rPr>
        <w:softHyphen/>
        <w:t>tei</w:t>
      </w:r>
      <w:r>
        <w:rPr>
          <w:color w:val="auto"/>
          <w:spacing w:val="-3"/>
          <w:lang w:eastAsia="en-US"/>
        </w:rPr>
        <w:softHyphen/>
        <w:t>li</w:t>
      </w:r>
      <w:r>
        <w:rPr>
          <w:color w:val="auto"/>
          <w:spacing w:val="-3"/>
          <w:lang w:eastAsia="en-US"/>
        </w:rPr>
        <w:softHyphen/>
        <w:t>gungs-Ausschüttung</w:t>
      </w:r>
      <w:proofErr w:type="spellEnd"/>
      <w:r>
        <w:rPr>
          <w:color w:val="auto"/>
          <w:spacing w:val="-3"/>
          <w:lang w:eastAsia="en-US"/>
        </w:rPr>
        <w:t xml:space="preserve"> an alle Mitarbeiter.</w:t>
      </w:r>
    </w:p>
    <w:p w14:paraId="1B4E6FB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(3)</w:t>
      </w:r>
      <w:r>
        <w:rPr>
          <w:rStyle w:val="Fett"/>
          <w:color w:val="auto"/>
        </w:rPr>
        <w:tab/>
        <w:t>Verteilung der Erfolgsbeteiligung</w:t>
      </w:r>
    </w:p>
    <w:p w14:paraId="2B1FB46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lang w:eastAsia="en-US"/>
        </w:rPr>
      </w:pPr>
      <w:r>
        <w:rPr>
          <w:color w:val="auto"/>
          <w:spacing w:val="-2"/>
          <w:lang w:eastAsia="en-US"/>
        </w:rPr>
        <w:t xml:space="preserve">Die Verteilung erfolgt im Verhältnis zur Jahressumme der Grundvergütung der einzelnen </w:t>
      </w:r>
      <w:r>
        <w:rPr>
          <w:color w:val="auto"/>
          <w:spacing w:val="-1"/>
          <w:lang w:eastAsia="en-US"/>
        </w:rPr>
        <w:t>Mit</w:t>
      </w:r>
      <w:r>
        <w:rPr>
          <w:color w:val="auto"/>
          <w:spacing w:val="-1"/>
          <w:lang w:eastAsia="en-US"/>
        </w:rPr>
        <w:softHyphen/>
        <w:t>ar</w:t>
      </w:r>
      <w:r>
        <w:rPr>
          <w:color w:val="auto"/>
          <w:spacing w:val="-1"/>
          <w:lang w:eastAsia="en-US"/>
        </w:rPr>
        <w:softHyphen/>
        <w:t xml:space="preserve">beiter. Der </w:t>
      </w:r>
      <w:r>
        <w:rPr>
          <w:color w:val="auto"/>
          <w:spacing w:val="-5"/>
          <w:lang w:eastAsia="en-US"/>
        </w:rPr>
        <w:t xml:space="preserve">Prozentsatz ist </w:t>
      </w:r>
      <w:r>
        <w:rPr>
          <w:color w:val="auto"/>
          <w:lang w:eastAsia="en-US"/>
        </w:rPr>
        <w:t>für</w:t>
      </w:r>
      <w:r>
        <w:rPr>
          <w:color w:val="auto"/>
          <w:spacing w:val="23"/>
          <w:lang w:eastAsia="en-US"/>
        </w:rPr>
        <w:t xml:space="preserve"> </w:t>
      </w:r>
      <w:r>
        <w:rPr>
          <w:color w:val="auto"/>
          <w:lang w:eastAsia="en-US"/>
        </w:rPr>
        <w:t xml:space="preserve">alle Mitarbeiter gleich, </w:t>
      </w:r>
      <w:r>
        <w:rPr>
          <w:color w:val="auto"/>
          <w:spacing w:val="-1"/>
          <w:lang w:eastAsia="en-US"/>
        </w:rPr>
        <w:t xml:space="preserve">denn mit der Erfolgsbeteiligung </w:t>
      </w:r>
      <w:r>
        <w:rPr>
          <w:color w:val="auto"/>
          <w:spacing w:val="-5"/>
          <w:lang w:eastAsia="en-US"/>
        </w:rPr>
        <w:t xml:space="preserve">soll das gemeinsam erreichte Ergebnis der Gesamtfirma honoriert werden. Die Einzelleistungen </w:t>
      </w:r>
      <w:r>
        <w:rPr>
          <w:color w:val="auto"/>
          <w:lang w:eastAsia="en-US"/>
        </w:rPr>
        <w:t>wer</w:t>
      </w:r>
      <w:r>
        <w:rPr>
          <w:color w:val="auto"/>
          <w:lang w:eastAsia="en-US"/>
        </w:rPr>
        <w:softHyphen/>
        <w:t>den über die Leistungsprämie honoriert.</w:t>
      </w:r>
    </w:p>
    <w:p w14:paraId="7A591B8C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(4)</w:t>
      </w:r>
      <w:r>
        <w:rPr>
          <w:rStyle w:val="Fett"/>
          <w:color w:val="auto"/>
        </w:rPr>
        <w:tab/>
        <w:t>Auszahlung der Erfolgsbeteiligung</w:t>
      </w:r>
    </w:p>
    <w:p w14:paraId="4782D04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pacing w:val="-2"/>
          <w:lang w:eastAsia="en-US"/>
        </w:rPr>
      </w:pPr>
      <w:r>
        <w:rPr>
          <w:color w:val="auto"/>
          <w:spacing w:val="-2"/>
          <w:lang w:eastAsia="en-US"/>
        </w:rPr>
        <w:t xml:space="preserve">Die Erfolgsbeteiligung für ein Jahr wird in zwei Teilen ausgezahlt: </w:t>
      </w:r>
      <w:r>
        <w:rPr>
          <w:color w:val="auto"/>
          <w:spacing w:val="-7"/>
          <w:lang w:eastAsia="en-US"/>
        </w:rPr>
        <w:t xml:space="preserve">Im </w:t>
      </w:r>
      <w:r>
        <w:rPr>
          <w:color w:val="auto"/>
          <w:lang w:eastAsia="en-US"/>
        </w:rPr>
        <w:t xml:space="preserve">September ermittelt die </w:t>
      </w:r>
      <w:r w:rsidRPr="00D03409">
        <w:rPr>
          <w:color w:val="auto"/>
          <w:w w:val="99"/>
          <w:lang w:eastAsia="en-US"/>
        </w:rPr>
        <w:t xml:space="preserve">Geschäftsleitung den Geschäftserfolg des ersten Halbjahres anhand </w:t>
      </w:r>
      <w:r w:rsidRPr="00D03409">
        <w:rPr>
          <w:color w:val="auto"/>
          <w:spacing w:val="-1"/>
          <w:w w:val="99"/>
          <w:lang w:eastAsia="en-US"/>
        </w:rPr>
        <w:t>der vorher festge</w:t>
      </w:r>
      <w:r w:rsidRPr="00D03409">
        <w:rPr>
          <w:color w:val="auto"/>
          <w:spacing w:val="-1"/>
          <w:w w:val="99"/>
          <w:lang w:eastAsia="en-US"/>
        </w:rPr>
        <w:softHyphen/>
        <w:t>leg</w:t>
      </w:r>
      <w:r w:rsidRPr="00D03409">
        <w:rPr>
          <w:color w:val="auto"/>
          <w:spacing w:val="-1"/>
          <w:w w:val="99"/>
          <w:lang w:eastAsia="en-US"/>
        </w:rPr>
        <w:softHyphen/>
        <w:t>ten</w:t>
      </w:r>
      <w:r>
        <w:rPr>
          <w:color w:val="auto"/>
          <w:spacing w:val="-1"/>
          <w:lang w:eastAsia="en-US"/>
        </w:rPr>
        <w:t xml:space="preserve"> Geschäftsziele (siehe </w:t>
      </w:r>
      <w:r>
        <w:rPr>
          <w:color w:val="auto"/>
          <w:spacing w:val="-2"/>
          <w:lang w:eastAsia="en-US"/>
        </w:rPr>
        <w:t>5.1). Auf dieser Grundlage bestimmt die Geschäftsleitung einen Pro</w:t>
      </w:r>
      <w:r>
        <w:rPr>
          <w:color w:val="auto"/>
          <w:spacing w:val="-2"/>
          <w:lang w:eastAsia="en-US"/>
        </w:rPr>
        <w:softHyphen/>
        <w:t>zent</w:t>
      </w:r>
      <w:r>
        <w:rPr>
          <w:color w:val="auto"/>
          <w:spacing w:val="-2"/>
          <w:lang w:eastAsia="en-US"/>
        </w:rPr>
        <w:softHyphen/>
        <w:t xml:space="preserve">satz für die Erfolgsbeteiligung der Mitarbeiter. </w:t>
      </w:r>
      <w:r>
        <w:rPr>
          <w:color w:val="auto"/>
          <w:lang w:eastAsia="en-US"/>
        </w:rPr>
        <w:t>Bei normalem Geschäftsverlauf sind das zehn Prozent der Grundvergütung des Mitarbeiters in den ersten sechs</w:t>
      </w:r>
      <w:r>
        <w:rPr>
          <w:color w:val="auto"/>
          <w:spacing w:val="-5"/>
          <w:lang w:eastAsia="en-US"/>
        </w:rPr>
        <w:t xml:space="preserve"> Monaten des Ge</w:t>
      </w:r>
      <w:r>
        <w:rPr>
          <w:color w:val="auto"/>
          <w:spacing w:val="-5"/>
          <w:lang w:eastAsia="en-US"/>
        </w:rPr>
        <w:softHyphen/>
        <w:t>schäfts</w:t>
      </w:r>
      <w:r>
        <w:rPr>
          <w:color w:val="auto"/>
          <w:spacing w:val="-5"/>
          <w:lang w:eastAsia="en-US"/>
        </w:rPr>
        <w:softHyphen/>
        <w:t xml:space="preserve">jahres. Die Auszahlung erfolgt als </w:t>
      </w:r>
      <w:r>
        <w:rPr>
          <w:color w:val="auto"/>
          <w:lang w:eastAsia="en-US"/>
        </w:rPr>
        <w:t>Vorschuss im Oktober. Im März des Folgejahres wer</w:t>
      </w:r>
      <w:r>
        <w:rPr>
          <w:color w:val="auto"/>
          <w:lang w:eastAsia="en-US"/>
        </w:rPr>
        <w:softHyphen/>
        <w:t xml:space="preserve">den dann die Geschäftserfolge des vorausgegangenen Geschäftsjahres insgesamt </w:t>
      </w:r>
      <w:r>
        <w:rPr>
          <w:color w:val="auto"/>
          <w:spacing w:val="-1"/>
          <w:lang w:eastAsia="en-US"/>
        </w:rPr>
        <w:t xml:space="preserve">ermittelt und ein </w:t>
      </w:r>
      <w:r>
        <w:rPr>
          <w:color w:val="auto"/>
        </w:rPr>
        <w:t>endgültiger Prozentsatz</w:t>
      </w:r>
      <w:r>
        <w:rPr>
          <w:b/>
          <w:bCs/>
          <w:color w:val="auto"/>
          <w:spacing w:val="-6"/>
          <w:lang w:eastAsia="en-US"/>
        </w:rPr>
        <w:t xml:space="preserve"> </w:t>
      </w:r>
      <w:r>
        <w:rPr>
          <w:color w:val="auto"/>
          <w:spacing w:val="-1"/>
          <w:lang w:eastAsia="en-US"/>
        </w:rPr>
        <w:t xml:space="preserve">für die Erfolgsbeteiligung wird bestimmt. Die </w:t>
      </w:r>
      <w:r>
        <w:rPr>
          <w:color w:val="auto"/>
          <w:spacing w:val="-2"/>
          <w:lang w:eastAsia="en-US"/>
        </w:rPr>
        <w:t>Zah</w:t>
      </w:r>
      <w:r>
        <w:rPr>
          <w:color w:val="auto"/>
          <w:spacing w:val="-2"/>
          <w:lang w:eastAsia="en-US"/>
        </w:rPr>
        <w:softHyphen/>
        <w:t xml:space="preserve">lung erfolgt im April unter Anrechnung des Oktobervorschusses. Die Erfolgsbeteiligung ist eine variable Vergütung, die von Jahr zu Jahr neu festgelegt wird. </w:t>
      </w:r>
      <w:r>
        <w:rPr>
          <w:color w:val="auto"/>
          <w:spacing w:val="2"/>
          <w:lang w:eastAsia="en-US"/>
        </w:rPr>
        <w:t xml:space="preserve">Sie </w:t>
      </w:r>
      <w:r>
        <w:rPr>
          <w:color w:val="auto"/>
          <w:spacing w:val="-6"/>
          <w:lang w:eastAsia="en-US"/>
        </w:rPr>
        <w:t xml:space="preserve">ist vom Geschäftserfolg </w:t>
      </w:r>
      <w:r w:rsidRPr="00D03409">
        <w:rPr>
          <w:iCs/>
          <w:color w:val="auto"/>
          <w:spacing w:val="5"/>
          <w:lang w:eastAsia="en-US"/>
        </w:rPr>
        <w:t>des</w:t>
      </w:r>
      <w:r>
        <w:rPr>
          <w:i/>
          <w:iCs/>
          <w:color w:val="auto"/>
          <w:spacing w:val="5"/>
          <w:lang w:eastAsia="en-US"/>
        </w:rPr>
        <w:t xml:space="preserve"> </w:t>
      </w:r>
      <w:r>
        <w:rPr>
          <w:color w:val="auto"/>
          <w:spacing w:val="-2"/>
          <w:lang w:eastAsia="en-US"/>
        </w:rPr>
        <w:t>Unternehmens abhängig.</w:t>
      </w:r>
    </w:p>
    <w:p w14:paraId="007D2EE8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(5)</w:t>
      </w:r>
      <w:r>
        <w:rPr>
          <w:rStyle w:val="Fett"/>
          <w:color w:val="auto"/>
        </w:rPr>
        <w:tab/>
        <w:t>Verluste</w:t>
      </w:r>
    </w:p>
    <w:p w14:paraId="5D7D181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pacing w:val="-2"/>
          <w:szCs w:val="22"/>
          <w:lang w:eastAsia="en-US"/>
        </w:rPr>
      </w:pPr>
      <w:r>
        <w:rPr>
          <w:color w:val="auto"/>
          <w:spacing w:val="-3"/>
          <w:szCs w:val="22"/>
          <w:lang w:eastAsia="en-US"/>
        </w:rPr>
        <w:t xml:space="preserve">Wenn in einem Geschäftsjahr keine oder nur geringfügige Gewinne erzielt werden, wird </w:t>
      </w:r>
      <w:r>
        <w:rPr>
          <w:color w:val="auto"/>
          <w:spacing w:val="-2"/>
          <w:szCs w:val="22"/>
          <w:lang w:eastAsia="en-US"/>
        </w:rPr>
        <w:t xml:space="preserve">keine Erfolgsbeteiligung </w:t>
      </w:r>
      <w:r>
        <w:rPr>
          <w:color w:val="auto"/>
          <w:szCs w:val="22"/>
          <w:lang w:eastAsia="en-US"/>
        </w:rPr>
        <w:t xml:space="preserve">an die Mitarbeiter ausgeschüttet. </w:t>
      </w:r>
      <w:r>
        <w:rPr>
          <w:color w:val="auto"/>
          <w:spacing w:val="-2"/>
          <w:szCs w:val="22"/>
          <w:lang w:eastAsia="en-US"/>
        </w:rPr>
        <w:t xml:space="preserve">Das gilt auch dann, wenn Verluste und rückläufige Erträge voraussehbar waren oder sogar bei </w:t>
      </w:r>
      <w:r>
        <w:rPr>
          <w:color w:val="auto"/>
          <w:spacing w:val="3"/>
          <w:szCs w:val="22"/>
          <w:lang w:eastAsia="en-US"/>
        </w:rPr>
        <w:t xml:space="preserve">der </w:t>
      </w:r>
      <w:r>
        <w:rPr>
          <w:color w:val="auto"/>
          <w:spacing w:val="-2"/>
          <w:szCs w:val="22"/>
          <w:lang w:eastAsia="en-US"/>
        </w:rPr>
        <w:t>Vorausplanung in Ansatz ge</w:t>
      </w:r>
      <w:r>
        <w:rPr>
          <w:color w:val="auto"/>
          <w:spacing w:val="-2"/>
          <w:szCs w:val="22"/>
          <w:lang w:eastAsia="en-US"/>
        </w:rPr>
        <w:softHyphen/>
        <w:t>bracht wurden. Umsatzrückgang und Gewinneinbußen sind kein „normaler Geschäftsverlauf" im Sinne des Mitarbeitervergütungssystems.</w:t>
      </w:r>
    </w:p>
    <w:p w14:paraId="23128287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spacing w:val="-2"/>
          <w:szCs w:val="22"/>
          <w:lang w:eastAsia="en-US"/>
        </w:rPr>
      </w:pPr>
    </w:p>
    <w:p w14:paraId="1826354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  <w:spacing w:val="-2"/>
          <w:szCs w:val="22"/>
          <w:lang w:eastAsia="en-US"/>
        </w:rPr>
      </w:pPr>
    </w:p>
    <w:p w14:paraId="0CD5F202" w14:textId="77777777" w:rsidR="003820F1" w:rsidRPr="00D03409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pacing w:val="-2"/>
          <w:sz w:val="24"/>
          <w:lang w:eastAsia="en-US"/>
        </w:rPr>
      </w:pPr>
      <w:r w:rsidRPr="00D03409">
        <w:rPr>
          <w:rStyle w:val="Fett"/>
          <w:color w:val="auto"/>
          <w:sz w:val="24"/>
        </w:rPr>
        <w:t>§ 6 Vertraulichkeit</w:t>
      </w:r>
    </w:p>
    <w:p w14:paraId="06B1DFB7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(1)</w:t>
      </w:r>
      <w:r>
        <w:rPr>
          <w:rStyle w:val="Fett"/>
          <w:color w:val="auto"/>
        </w:rPr>
        <w:tab/>
        <w:t>System</w:t>
      </w:r>
    </w:p>
    <w:p w14:paraId="70E030A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zCs w:val="22"/>
          <w:lang w:eastAsia="en-US"/>
        </w:rPr>
      </w:pPr>
      <w:r>
        <w:rPr>
          <w:color w:val="auto"/>
          <w:spacing w:val="-2"/>
          <w:szCs w:val="22"/>
          <w:lang w:eastAsia="en-US"/>
        </w:rPr>
        <w:t xml:space="preserve">Jeder Mitarbeiter wird über die Grundsätze des Vergütungssystems und der Gehaltsfindung in einem Leitfaden </w:t>
      </w:r>
      <w:r>
        <w:rPr>
          <w:color w:val="auto"/>
          <w:spacing w:val="-4"/>
          <w:szCs w:val="22"/>
          <w:lang w:eastAsia="en-US"/>
        </w:rPr>
        <w:t>informiert. Soweit dieser Leitfaden nicht alle Fragen des Mitarbeiters beant</w:t>
      </w:r>
      <w:r>
        <w:rPr>
          <w:color w:val="auto"/>
          <w:spacing w:val="-4"/>
          <w:szCs w:val="22"/>
          <w:lang w:eastAsia="en-US"/>
        </w:rPr>
        <w:softHyphen/>
        <w:t xml:space="preserve">wortet, gibt </w:t>
      </w:r>
      <w:r>
        <w:rPr>
          <w:color w:val="auto"/>
          <w:spacing w:val="3"/>
          <w:szCs w:val="22"/>
          <w:lang w:eastAsia="en-US"/>
        </w:rPr>
        <w:t xml:space="preserve">die </w:t>
      </w:r>
      <w:r>
        <w:rPr>
          <w:color w:val="auto"/>
          <w:szCs w:val="22"/>
          <w:lang w:eastAsia="en-US"/>
        </w:rPr>
        <w:t>Geschäftsleitung weitere Auskünfte.</w:t>
      </w:r>
    </w:p>
    <w:p w14:paraId="63B7EB0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(2)</w:t>
      </w:r>
      <w:r>
        <w:rPr>
          <w:rStyle w:val="Fett"/>
          <w:color w:val="auto"/>
        </w:rPr>
        <w:tab/>
        <w:t>Eingruppierung</w:t>
      </w:r>
    </w:p>
    <w:p w14:paraId="21BF924E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pacing w:val="-2"/>
          <w:szCs w:val="22"/>
          <w:lang w:eastAsia="en-US"/>
        </w:rPr>
      </w:pPr>
      <w:r>
        <w:rPr>
          <w:color w:val="auto"/>
          <w:spacing w:val="-6"/>
          <w:szCs w:val="22"/>
          <w:lang w:eastAsia="en-US"/>
        </w:rPr>
        <w:t xml:space="preserve">Jeder einzelne Mitarbeiter soll die Gehaltsgruppe kennen, die seiner Arbeitskraft zugeordnet </w:t>
      </w:r>
      <w:r>
        <w:rPr>
          <w:color w:val="auto"/>
          <w:spacing w:val="6"/>
          <w:szCs w:val="22"/>
          <w:lang w:eastAsia="en-US"/>
        </w:rPr>
        <w:t xml:space="preserve">ist, </w:t>
      </w:r>
      <w:r>
        <w:rPr>
          <w:color w:val="auto"/>
          <w:spacing w:val="-2"/>
          <w:szCs w:val="22"/>
          <w:lang w:eastAsia="en-US"/>
        </w:rPr>
        <w:t>und über seine mittelfristige potenzielle Gehaltsentwicklung informiert sein.</w:t>
      </w:r>
    </w:p>
    <w:p w14:paraId="4D5C875D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(3)</w:t>
      </w:r>
      <w:r>
        <w:rPr>
          <w:rStyle w:val="Fett"/>
          <w:color w:val="auto"/>
        </w:rPr>
        <w:tab/>
        <w:t>Gehaltstabelle</w:t>
      </w:r>
    </w:p>
    <w:p w14:paraId="71C1CA22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  <w:spacing w:val="-5"/>
          <w:szCs w:val="22"/>
          <w:lang w:eastAsia="en-US"/>
        </w:rPr>
      </w:pPr>
      <w:r>
        <w:rPr>
          <w:color w:val="auto"/>
          <w:spacing w:val="-5"/>
          <w:szCs w:val="22"/>
          <w:lang w:eastAsia="en-US"/>
        </w:rPr>
        <w:t>Die Gehaltstabelle wird nicht offen gelegt, denn dafür besteht kein öffentliches Interesse. Der Mit</w:t>
      </w:r>
      <w:r>
        <w:rPr>
          <w:color w:val="auto"/>
          <w:spacing w:val="-5"/>
          <w:szCs w:val="22"/>
          <w:lang w:eastAsia="en-US"/>
        </w:rPr>
        <w:softHyphen/>
        <w:t>arbeiter erfährt aber die Ober- und Untergrenze seiner Gehaltsgruppe.</w:t>
      </w:r>
    </w:p>
    <w:p w14:paraId="327461E7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rStyle w:val="Fett"/>
          <w:color w:val="auto"/>
        </w:rPr>
        <w:t>(4)</w:t>
      </w:r>
      <w:r>
        <w:rPr>
          <w:rStyle w:val="Fett"/>
          <w:color w:val="auto"/>
        </w:rPr>
        <w:tab/>
        <w:t>Einzelgehälter</w:t>
      </w:r>
    </w:p>
    <w:p w14:paraId="35DCB5F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left="425"/>
        <w:rPr>
          <w:color w:val="auto"/>
        </w:rPr>
      </w:pPr>
      <w:r>
        <w:rPr>
          <w:color w:val="auto"/>
          <w:spacing w:val="-2"/>
          <w:szCs w:val="22"/>
          <w:lang w:eastAsia="en-US"/>
        </w:rPr>
        <w:t>Persönliche vergütungsbezogene Gehaltsdaten und Informationen wie Einzelgehälter, alter</w:t>
      </w:r>
      <w:r>
        <w:rPr>
          <w:color w:val="auto"/>
          <w:spacing w:val="-2"/>
          <w:szCs w:val="22"/>
          <w:lang w:eastAsia="en-US"/>
        </w:rPr>
        <w:softHyphen/>
        <w:t>native Vergütungen, Leistungsergebnisbewertung, Höhe der Leistungsprämien sowie Er</w:t>
      </w:r>
      <w:r>
        <w:rPr>
          <w:color w:val="auto"/>
          <w:spacing w:val="-2"/>
          <w:szCs w:val="22"/>
          <w:lang w:eastAsia="en-US"/>
        </w:rPr>
        <w:softHyphen/>
        <w:t>folgs</w:t>
      </w:r>
      <w:r>
        <w:rPr>
          <w:color w:val="auto"/>
          <w:spacing w:val="-2"/>
          <w:szCs w:val="22"/>
          <w:lang w:eastAsia="en-US"/>
        </w:rPr>
        <w:softHyphen/>
        <w:t xml:space="preserve">beteiligung </w:t>
      </w:r>
      <w:r>
        <w:rPr>
          <w:color w:val="auto"/>
          <w:spacing w:val="-7"/>
          <w:szCs w:val="22"/>
          <w:lang w:eastAsia="en-US"/>
        </w:rPr>
        <w:t xml:space="preserve">(aus der Schlüsse auf die Grundvergütung gezogen werden können) sind </w:t>
      </w:r>
      <w:r>
        <w:rPr>
          <w:color w:val="auto"/>
          <w:spacing w:val="-7"/>
          <w:szCs w:val="22"/>
          <w:lang w:eastAsia="en-US"/>
        </w:rPr>
        <w:lastRenderedPageBreak/>
        <w:t xml:space="preserve">von Mitarbeitern und </w:t>
      </w:r>
      <w:r>
        <w:rPr>
          <w:color w:val="auto"/>
          <w:spacing w:val="-6"/>
          <w:szCs w:val="22"/>
          <w:lang w:eastAsia="en-US"/>
        </w:rPr>
        <w:t xml:space="preserve">Vorgesetzten und anderen Personen, die Zugang zu diesen Daten haben, streng vertraulich </w:t>
      </w:r>
      <w:r>
        <w:rPr>
          <w:color w:val="auto"/>
          <w:spacing w:val="-10"/>
          <w:szCs w:val="22"/>
          <w:lang w:eastAsia="en-US"/>
        </w:rPr>
        <w:t xml:space="preserve">zu </w:t>
      </w:r>
      <w:r>
        <w:rPr>
          <w:color w:val="auto"/>
          <w:szCs w:val="22"/>
          <w:lang w:eastAsia="en-US"/>
        </w:rPr>
        <w:t>behandeln. Diese Vertraulichkeit ist zwingend erforderlich, solange auch nur ein Mitarbeiter der Firma seine eigenen Daten nicht offen legen möchte.</w:t>
      </w:r>
    </w:p>
    <w:p w14:paraId="6F3D461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rStyle w:val="Fett"/>
          <w:color w:val="auto"/>
        </w:rPr>
      </w:pPr>
    </w:p>
    <w:p w14:paraId="1CB65172" w14:textId="77777777" w:rsidR="003820F1" w:rsidRPr="00D03409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color w:val="auto"/>
          <w:sz w:val="24"/>
        </w:rPr>
      </w:pPr>
      <w:r w:rsidRPr="00D03409">
        <w:rPr>
          <w:rStyle w:val="Fett"/>
          <w:color w:val="auto"/>
          <w:sz w:val="24"/>
        </w:rPr>
        <w:t>§ 7 Schlussvorschrift</w:t>
      </w:r>
    </w:p>
    <w:p w14:paraId="195F56B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Die Betriebsvereinbarung tritt am … in Kraft. Sie kann mit einer Frist von sechs Monaten zum Ende eines Kalenderjahres gekündigt werden.</w:t>
      </w:r>
    </w:p>
    <w:p w14:paraId="798E44DA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14:paraId="61F45D00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14:paraId="76A0A1F0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…, den …</w:t>
      </w:r>
    </w:p>
    <w:p w14:paraId="0B71655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14:paraId="18492C26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14:paraId="4A2F5F1B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____________________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____________________</w:t>
      </w:r>
    </w:p>
    <w:p w14:paraId="16607C95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  <w:tab w:val="left" w:pos="5940"/>
        </w:tabs>
        <w:spacing w:before="60" w:after="60" w:line="280" w:lineRule="exact"/>
        <w:rPr>
          <w:color w:val="auto"/>
        </w:rPr>
      </w:pPr>
      <w:r>
        <w:rPr>
          <w:color w:val="auto"/>
        </w:rPr>
        <w:t>(Arbeitgeber)</w:t>
      </w:r>
      <w:r>
        <w:rPr>
          <w:color w:val="auto"/>
        </w:rPr>
        <w:tab/>
      </w:r>
      <w:r>
        <w:rPr>
          <w:color w:val="auto"/>
        </w:rPr>
        <w:tab/>
        <w:t>(Betriebsrat)</w:t>
      </w:r>
    </w:p>
    <w:p w14:paraId="0E981794" w14:textId="77777777" w:rsidR="003820F1" w:rsidRDefault="003820F1" w:rsidP="003820F1">
      <w:pPr>
        <w:pStyle w:val="Textblock"/>
        <w:numPr>
          <w:ilvl w:val="0"/>
          <w:numId w:val="0"/>
        </w:numPr>
        <w:tabs>
          <w:tab w:val="left" w:pos="425"/>
          <w:tab w:val="left" w:pos="851"/>
          <w:tab w:val="left" w:pos="5940"/>
        </w:tabs>
        <w:spacing w:before="60" w:after="60" w:line="280" w:lineRule="exact"/>
        <w:rPr>
          <w:color w:val="auto"/>
        </w:rPr>
      </w:pPr>
    </w:p>
    <w:sectPr w:rsidR="003820F1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057F61" w14:textId="77777777" w:rsidR="00CA27A0" w:rsidRDefault="00CA27A0" w:rsidP="00645C6A">
      <w:pPr>
        <w:spacing w:after="0" w:line="240" w:lineRule="auto"/>
      </w:pPr>
      <w:r>
        <w:separator/>
      </w:r>
    </w:p>
  </w:endnote>
  <w:endnote w:type="continuationSeparator" w:id="0">
    <w:p w14:paraId="5FD0197D" w14:textId="77777777" w:rsidR="00CA27A0" w:rsidRDefault="00CA27A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D22B4" w14:textId="1B52368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>KOMPAKT |</w:t>
    </w:r>
    <w:r w:rsidR="003820F1">
      <w:rPr>
        <w:sz w:val="16"/>
        <w:szCs w:val="16"/>
      </w:rPr>
      <w:t xml:space="preserve"> </w:t>
    </w:r>
    <w:r w:rsidR="00BA0710">
      <w:rPr>
        <w:sz w:val="16"/>
        <w:szCs w:val="16"/>
      </w:rPr>
      <w:t>November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90CCC" w14:textId="77777777" w:rsidR="00CA27A0" w:rsidRDefault="00CA27A0" w:rsidP="00645C6A">
      <w:pPr>
        <w:spacing w:after="0" w:line="240" w:lineRule="auto"/>
      </w:pPr>
      <w:r>
        <w:separator/>
      </w:r>
    </w:p>
  </w:footnote>
  <w:footnote w:type="continuationSeparator" w:id="0">
    <w:p w14:paraId="16E5EE95" w14:textId="77777777" w:rsidR="00CA27A0" w:rsidRDefault="00CA27A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0094B40"/>
    <w:multiLevelType w:val="hybridMultilevel"/>
    <w:tmpl w:val="2EEA1AE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306A1"/>
    <w:multiLevelType w:val="hybridMultilevel"/>
    <w:tmpl w:val="1C9C14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EC936F8"/>
    <w:multiLevelType w:val="multilevel"/>
    <w:tmpl w:val="BDD4EE00"/>
    <w:lvl w:ilvl="0">
      <w:start w:val="1"/>
      <w:numFmt w:val="none"/>
      <w:pStyle w:val="Doktitel"/>
      <w:lvlText w:val="Tit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5FE2053"/>
    <w:multiLevelType w:val="hybridMultilevel"/>
    <w:tmpl w:val="7E143284"/>
    <w:lvl w:ilvl="0" w:tplc="0407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CC477E4"/>
    <w:multiLevelType w:val="hybridMultilevel"/>
    <w:tmpl w:val="93D6E2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5" w15:restartNumberingAfterBreak="0">
    <w:nsid w:val="7BA7797B"/>
    <w:multiLevelType w:val="hybridMultilevel"/>
    <w:tmpl w:val="901606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48923856">
    <w:abstractNumId w:val="16"/>
  </w:num>
  <w:num w:numId="2" w16cid:durableId="1259951458">
    <w:abstractNumId w:val="0"/>
  </w:num>
  <w:num w:numId="3" w16cid:durableId="1690712574">
    <w:abstractNumId w:val="10"/>
  </w:num>
  <w:num w:numId="4" w16cid:durableId="1792284654">
    <w:abstractNumId w:val="9"/>
  </w:num>
  <w:num w:numId="5" w16cid:durableId="2006277786">
    <w:abstractNumId w:val="1"/>
  </w:num>
  <w:num w:numId="6" w16cid:durableId="1741906053">
    <w:abstractNumId w:val="14"/>
  </w:num>
  <w:num w:numId="7" w16cid:durableId="348796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4667285">
    <w:abstractNumId w:val="5"/>
  </w:num>
  <w:num w:numId="9" w16cid:durableId="2118527080">
    <w:abstractNumId w:val="2"/>
  </w:num>
  <w:num w:numId="10" w16cid:durableId="851839741">
    <w:abstractNumId w:val="7"/>
  </w:num>
  <w:num w:numId="11" w16cid:durableId="580333974">
    <w:abstractNumId w:val="13"/>
  </w:num>
  <w:num w:numId="12" w16cid:durableId="1997683995">
    <w:abstractNumId w:val="8"/>
  </w:num>
  <w:num w:numId="13" w16cid:durableId="697893748">
    <w:abstractNumId w:val="15"/>
  </w:num>
  <w:num w:numId="14" w16cid:durableId="497622491">
    <w:abstractNumId w:val="11"/>
  </w:num>
  <w:num w:numId="15" w16cid:durableId="775977836">
    <w:abstractNumId w:val="6"/>
  </w:num>
  <w:num w:numId="16" w16cid:durableId="1257982196">
    <w:abstractNumId w:val="4"/>
  </w:num>
  <w:num w:numId="17" w16cid:durableId="2520573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3820F1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B5EBA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0710"/>
    <w:rsid w:val="00BA6766"/>
    <w:rsid w:val="00BD7586"/>
    <w:rsid w:val="00BE3933"/>
    <w:rsid w:val="00C512C3"/>
    <w:rsid w:val="00C56A09"/>
    <w:rsid w:val="00CA27A0"/>
    <w:rsid w:val="00CA3365"/>
    <w:rsid w:val="00CB5669"/>
    <w:rsid w:val="00CC14C0"/>
    <w:rsid w:val="00D03711"/>
    <w:rsid w:val="00D23C85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paragraph" w:customStyle="1" w:styleId="Doktitel">
    <w:name w:val="Doktitel"/>
    <w:basedOn w:val="Standard"/>
    <w:next w:val="Textblock"/>
    <w:rsid w:val="003820F1"/>
    <w:pPr>
      <w:numPr>
        <w:numId w:val="12"/>
      </w:numPr>
      <w:tabs>
        <w:tab w:val="left" w:pos="0"/>
      </w:tabs>
      <w:spacing w:before="680" w:after="120" w:line="300" w:lineRule="auto"/>
      <w:ind w:left="1491" w:hanging="357"/>
      <w:outlineLvl w:val="0"/>
    </w:pPr>
    <w:rPr>
      <w:rFonts w:ascii="Arial" w:eastAsia="Times New Roman" w:hAnsi="Arial" w:cs="Times New Roman"/>
      <w:b/>
      <w:color w:val="000080"/>
      <w:sz w:val="36"/>
      <w:szCs w:val="24"/>
      <w:lang w:eastAsia="de-DE"/>
    </w:rPr>
  </w:style>
  <w:style w:type="paragraph" w:customStyle="1" w:styleId="Liste1">
    <w:name w:val="Liste 1"/>
    <w:basedOn w:val="Standard"/>
    <w:rsid w:val="003820F1"/>
    <w:pPr>
      <w:tabs>
        <w:tab w:val="num" w:pos="1494"/>
        <w:tab w:val="left" w:pos="1928"/>
      </w:tabs>
      <w:spacing w:before="40" w:after="40" w:line="300" w:lineRule="auto"/>
      <w:ind w:left="1888" w:hanging="357"/>
    </w:pPr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2131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3</cp:revision>
  <dcterms:created xsi:type="dcterms:W3CDTF">2020-04-06T12:29:00Z</dcterms:created>
  <dcterms:modified xsi:type="dcterms:W3CDTF">2024-09-01T13:47:00Z</dcterms:modified>
</cp:coreProperties>
</file>