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EF7C" w14:textId="77777777" w:rsidR="007C20F8" w:rsidRDefault="007C20F8"/>
    <w:p w14:paraId="54B2EDAC" w14:textId="77777777" w:rsidR="00663F22" w:rsidRDefault="00663F22"/>
    <w:p w14:paraId="72CFEB29" w14:textId="77777777" w:rsidR="00663F22" w:rsidRPr="00663F22" w:rsidRDefault="00663F22" w:rsidP="00663F22">
      <w:pPr>
        <w:tabs>
          <w:tab w:val="left" w:pos="0"/>
          <w:tab w:val="left" w:pos="425"/>
          <w:tab w:val="left" w:pos="851"/>
          <w:tab w:val="num" w:pos="1494"/>
        </w:tabs>
        <w:spacing w:before="60" w:after="60" w:line="280" w:lineRule="exact"/>
        <w:jc w:val="center"/>
        <w:outlineLvl w:val="2"/>
        <w:rPr>
          <w:rFonts w:ascii="Arial" w:eastAsia="Times New Roman" w:hAnsi="Arial" w:cs="Arial"/>
          <w:b/>
          <w:bCs/>
          <w:sz w:val="28"/>
          <w:szCs w:val="28"/>
          <w:lang w:eastAsia="de-DE"/>
        </w:rPr>
      </w:pPr>
      <w:r w:rsidRPr="00663F22">
        <w:rPr>
          <w:rFonts w:ascii="Arial" w:eastAsia="Times New Roman" w:hAnsi="Arial" w:cs="Arial"/>
          <w:b/>
          <w:bCs/>
          <w:sz w:val="28"/>
          <w:szCs w:val="28"/>
          <w:lang w:eastAsia="de-DE"/>
        </w:rPr>
        <w:t>Werkswohnung: Musterbetriebsvereinbarung zur Vergabe von Werkmietwohnungen</w:t>
      </w:r>
    </w:p>
    <w:p w14:paraId="2D7D67A0" w14:textId="77777777" w:rsidR="00663F22" w:rsidRPr="00663F22" w:rsidRDefault="00663F22" w:rsidP="00663F22">
      <w:pPr>
        <w:tabs>
          <w:tab w:val="num" w:pos="1494"/>
        </w:tabs>
        <w:spacing w:before="120" w:after="120" w:line="300" w:lineRule="auto"/>
        <w:ind w:left="1491"/>
        <w:rPr>
          <w:rFonts w:ascii="Arial" w:eastAsia="Times New Roman" w:hAnsi="Arial" w:cs="Times New Roman"/>
          <w:szCs w:val="24"/>
          <w:lang w:eastAsia="de-DE"/>
        </w:rPr>
      </w:pPr>
    </w:p>
    <w:p w14:paraId="3EFD35F9"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Arial"/>
          <w:lang w:eastAsia="de-DE"/>
        </w:rPr>
      </w:pPr>
    </w:p>
    <w:p w14:paraId="130C6AED" w14:textId="139924EF" w:rsidR="00663F22" w:rsidRPr="00663F22" w:rsidRDefault="00663F22" w:rsidP="00663F22">
      <w:pPr>
        <w:tabs>
          <w:tab w:val="left" w:pos="0"/>
          <w:tab w:val="left" w:pos="425"/>
          <w:tab w:val="left" w:pos="851"/>
        </w:tabs>
        <w:spacing w:before="60" w:after="60" w:line="280" w:lineRule="exact"/>
        <w:rPr>
          <w:rFonts w:ascii="Arial" w:eastAsia="Times New Roman" w:hAnsi="Arial" w:cs="Times New Roman"/>
          <w:szCs w:val="24"/>
          <w:lang w:eastAsia="de-DE"/>
        </w:rPr>
      </w:pPr>
      <w:r w:rsidRPr="00663F22">
        <w:rPr>
          <w:rFonts w:ascii="Arial" w:eastAsia="Times New Roman" w:hAnsi="Arial" w:cs="Times New Roman"/>
          <w:szCs w:val="24"/>
          <w:lang w:eastAsia="de-DE"/>
        </w:rPr>
        <w:t xml:space="preserve">Zwischen der </w:t>
      </w:r>
      <w:r>
        <w:rPr>
          <w:rFonts w:ascii="Arial" w:eastAsia="Times New Roman" w:hAnsi="Arial" w:cs="Times New Roman"/>
          <w:szCs w:val="24"/>
          <w:lang w:eastAsia="de-DE"/>
        </w:rPr>
        <w:t>(</w:t>
      </w:r>
      <w:r w:rsidRPr="00663F22">
        <w:rPr>
          <w:rFonts w:ascii="Arial" w:eastAsia="Times New Roman" w:hAnsi="Arial" w:cs="Times New Roman"/>
          <w:szCs w:val="24"/>
          <w:lang w:eastAsia="de-DE"/>
        </w:rPr>
        <w:t>...</w:t>
      </w:r>
      <w:r>
        <w:rPr>
          <w:rFonts w:ascii="Arial" w:eastAsia="Times New Roman" w:hAnsi="Arial" w:cs="Times New Roman"/>
          <w:szCs w:val="24"/>
          <w:lang w:eastAsia="de-DE"/>
        </w:rPr>
        <w:t>)</w:t>
      </w:r>
      <w:r w:rsidRPr="00663F22">
        <w:rPr>
          <w:rFonts w:ascii="Arial" w:eastAsia="Times New Roman" w:hAnsi="Arial" w:cs="Times New Roman"/>
          <w:szCs w:val="24"/>
          <w:lang w:eastAsia="de-DE"/>
        </w:rPr>
        <w:t xml:space="preserve"> AG und dem Betriebsrat der </w:t>
      </w:r>
      <w:r>
        <w:rPr>
          <w:rFonts w:ascii="Arial" w:eastAsia="Times New Roman" w:hAnsi="Arial" w:cs="Times New Roman"/>
          <w:szCs w:val="24"/>
          <w:lang w:eastAsia="de-DE"/>
        </w:rPr>
        <w:t>(</w:t>
      </w:r>
      <w:r w:rsidRPr="00663F22">
        <w:rPr>
          <w:rFonts w:ascii="Arial" w:eastAsia="Times New Roman" w:hAnsi="Arial" w:cs="Times New Roman"/>
          <w:szCs w:val="24"/>
          <w:lang w:eastAsia="de-DE"/>
        </w:rPr>
        <w:t>...</w:t>
      </w:r>
      <w:r>
        <w:rPr>
          <w:rFonts w:ascii="Arial" w:eastAsia="Times New Roman" w:hAnsi="Arial" w:cs="Times New Roman"/>
          <w:szCs w:val="24"/>
          <w:lang w:eastAsia="de-DE"/>
        </w:rPr>
        <w:t>)</w:t>
      </w:r>
      <w:r w:rsidRPr="00663F22">
        <w:rPr>
          <w:rFonts w:ascii="Arial" w:eastAsia="Times New Roman" w:hAnsi="Arial" w:cs="Times New Roman"/>
          <w:szCs w:val="24"/>
          <w:lang w:eastAsia="de-DE"/>
        </w:rPr>
        <w:t xml:space="preserve"> AG wird folgende Betriebsvereinbarung über die Vergabe von Werkmietwohnungen an Mitarbeiter der </w:t>
      </w:r>
      <w:r>
        <w:rPr>
          <w:rFonts w:ascii="Arial" w:eastAsia="Times New Roman" w:hAnsi="Arial" w:cs="Times New Roman"/>
          <w:szCs w:val="24"/>
          <w:lang w:eastAsia="de-DE"/>
        </w:rPr>
        <w:t>(</w:t>
      </w:r>
      <w:r w:rsidRPr="00663F22">
        <w:rPr>
          <w:rFonts w:ascii="Arial" w:eastAsia="Times New Roman" w:hAnsi="Arial" w:cs="Times New Roman"/>
          <w:szCs w:val="24"/>
          <w:lang w:eastAsia="de-DE"/>
        </w:rPr>
        <w:t>...</w:t>
      </w:r>
      <w:r>
        <w:rPr>
          <w:rFonts w:ascii="Arial" w:eastAsia="Times New Roman" w:hAnsi="Arial" w:cs="Times New Roman"/>
          <w:szCs w:val="24"/>
          <w:lang w:eastAsia="de-DE"/>
        </w:rPr>
        <w:t>)</w:t>
      </w:r>
      <w:r w:rsidRPr="00663F22">
        <w:rPr>
          <w:rFonts w:ascii="Arial" w:eastAsia="Times New Roman" w:hAnsi="Arial" w:cs="Times New Roman"/>
          <w:szCs w:val="24"/>
          <w:lang w:eastAsia="de-DE"/>
        </w:rPr>
        <w:t xml:space="preserve"> AG geschlossen:</w:t>
      </w:r>
    </w:p>
    <w:p w14:paraId="5E6EB4ED"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Cs w:val="24"/>
          <w:lang w:eastAsia="de-DE"/>
        </w:rPr>
      </w:pPr>
    </w:p>
    <w:p w14:paraId="581FD617"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sz w:val="24"/>
          <w:szCs w:val="24"/>
          <w:lang w:eastAsia="de-DE"/>
        </w:rPr>
      </w:pPr>
      <w:r w:rsidRPr="00663F22">
        <w:rPr>
          <w:rFonts w:ascii="Arial" w:eastAsia="Times New Roman" w:hAnsi="Arial" w:cs="Times New Roman"/>
          <w:b/>
          <w:bCs/>
          <w:sz w:val="24"/>
          <w:szCs w:val="24"/>
          <w:lang w:eastAsia="de-DE"/>
        </w:rPr>
        <w:t>Präambel</w:t>
      </w:r>
    </w:p>
    <w:p w14:paraId="58652312"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szCs w:val="24"/>
          <w:lang w:eastAsia="de-DE"/>
        </w:rPr>
      </w:pPr>
      <w:r w:rsidRPr="00663F22">
        <w:rPr>
          <w:rFonts w:ascii="Arial" w:eastAsia="Times New Roman" w:hAnsi="Arial" w:cs="Times New Roman"/>
          <w:szCs w:val="24"/>
          <w:lang w:eastAsia="de-DE"/>
        </w:rPr>
        <w:t>Geschäftsleitung und Betriebsrat sind sich einig, dass über die Bereitstellung von Wohnraum (Werkmietwohnungen) für Mitarbeiter des Unternehmens bei den Arbeitnehmern die Motivation für die Ziele des Unternehmens sowie die Bindung an das Unternehmen gesteigert werden kann. Geschäftsleitung und Betriebsrat erhoffen sich dadurch eine Verbesserung und Stabilisierung des operativen Geschäfts und eine Erhöhung des Geschäftserfolgs.</w:t>
      </w:r>
    </w:p>
    <w:p w14:paraId="3AFF46E6"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Cs w:val="24"/>
          <w:lang w:eastAsia="de-DE"/>
        </w:rPr>
      </w:pPr>
    </w:p>
    <w:p w14:paraId="6E4FCBD4"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r w:rsidRPr="00663F22">
        <w:rPr>
          <w:rFonts w:ascii="Arial" w:eastAsia="Times New Roman" w:hAnsi="Arial" w:cs="Times New Roman"/>
          <w:b/>
          <w:bCs/>
          <w:sz w:val="24"/>
          <w:szCs w:val="24"/>
          <w:lang w:eastAsia="de-DE"/>
        </w:rPr>
        <w:t>§ 1 Personenkreis</w:t>
      </w:r>
    </w:p>
    <w:p w14:paraId="064B81E6" w14:textId="4D36AD39"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Die Regelung betrifft die Vergabe von Werkmietwohnungen an die durch den Betriebsrat vertretenen Mitarbeiter</w:t>
      </w:r>
      <w:r>
        <w:rPr>
          <w:rFonts w:ascii="Arial" w:eastAsia="Times New Roman" w:hAnsi="Arial" w:cs="Times New Roman"/>
          <w:szCs w:val="20"/>
          <w:lang w:eastAsia="de-DE"/>
        </w:rPr>
        <w:t xml:space="preserve"> (</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p>
    <w:p w14:paraId="19C30E07"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Antragsberechtigt für eine Werkmietwohnung sind alle Mitarbeiter, die in einem ungekündigten Arbeitsverhältnis stehen und seit mindestens sechs Monaten dem Unternehmen angehören.</w:t>
      </w:r>
    </w:p>
    <w:p w14:paraId="6AFDE23B"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Der Antrag auf Beschaffung einer Werkmietwohnung kann im Allgemeinen nicht vor Ablauf der Probezeit oder des Lehrverhältnisses gestellt werden.</w:t>
      </w:r>
    </w:p>
    <w:p w14:paraId="28DCDA69"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Der Antrag auf Beschaffung einer Werkmietwohnung ist auf besonderem Formular (siehe Anlage) an den Abteilungsleiter, die Personalabteilung oder den Betriebsrat zu stellen. Die Personalabteilung leitet den genehmigten Antrag der Grundstücksverwaltung zu.</w:t>
      </w:r>
    </w:p>
    <w:p w14:paraId="3BB3B40E"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Es besteht kein allgemeiner Anspruch auf eine Werkswohnung. Der Wohnungsuchende benötigt die Zustimmung des Abteilungsleiters, der Personalabteilung und des Betriebsrats.</w:t>
      </w:r>
    </w:p>
    <w:p w14:paraId="780F429E"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In Zusammenarbeit von Personalabteilung und Betriebsrat werden aufgrund der vorliegenden Anträge Sozialfälle festgestellt, die bei besonders preisgünstigen Wohnungen berücksichtigt werden sollen. Die Grundstücksverwaltung wird hierüber unterrichtet.</w:t>
      </w:r>
    </w:p>
    <w:p w14:paraId="7C7B96D0" w14:textId="77777777" w:rsidR="00663F22" w:rsidRPr="00663F22" w:rsidRDefault="00663F22" w:rsidP="00663F22">
      <w:pPr>
        <w:numPr>
          <w:ilvl w:val="0"/>
          <w:numId w:val="35"/>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Der Betriebsrat erhält jeweils zum Geschäftsjahresabschluss eine Werkmietwohnungsstatistik.</w:t>
      </w:r>
    </w:p>
    <w:p w14:paraId="2C55ADAA"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Cs w:val="24"/>
          <w:lang w:eastAsia="de-DE"/>
        </w:rPr>
      </w:pPr>
    </w:p>
    <w:p w14:paraId="2F2DE804" w14:textId="77777777" w:rsid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p>
    <w:p w14:paraId="6DF40F39" w14:textId="45A03C16"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r w:rsidRPr="00663F22">
        <w:rPr>
          <w:rFonts w:ascii="Arial" w:eastAsia="Times New Roman" w:hAnsi="Arial" w:cs="Times New Roman"/>
          <w:b/>
          <w:bCs/>
          <w:sz w:val="24"/>
          <w:szCs w:val="24"/>
          <w:lang w:eastAsia="de-DE"/>
        </w:rPr>
        <w:t>§ 2 Wohnungsvergabe</w:t>
      </w:r>
    </w:p>
    <w:p w14:paraId="46F8EDF3" w14:textId="77777777" w:rsidR="00663F22" w:rsidRPr="00663F22" w:rsidRDefault="00663F22" w:rsidP="00663F22">
      <w:pPr>
        <w:numPr>
          <w:ilvl w:val="0"/>
          <w:numId w:val="36"/>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Die Grundstücksverwaltung hält den Betriebsrat aufgrund der vorliegenden Anträge über den Stand der Wohnungsbeschaffung auf dem Laufenden, d.h., mit dem Betriebsrat werden in monatlichem Turnus sämtliche noch nicht erledigten Wohnungsfälle durchgesprochen.</w:t>
      </w:r>
    </w:p>
    <w:p w14:paraId="56CD6103" w14:textId="77777777" w:rsidR="00663F22" w:rsidRPr="00663F22" w:rsidRDefault="00663F22" w:rsidP="00663F22">
      <w:pPr>
        <w:numPr>
          <w:ilvl w:val="0"/>
          <w:numId w:val="36"/>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Von jeder Wohnungsvergabe wird der Betriebsrat durch Kopie des Wohnungszuteilungsbriefs unterrichtet. Das Recht des Betriebsrats zum Einblick in die entsprechenden Akten bleibt unberührt.</w:t>
      </w:r>
    </w:p>
    <w:p w14:paraId="200F92D9"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Cs w:val="24"/>
          <w:lang w:eastAsia="de-DE"/>
        </w:rPr>
      </w:pPr>
    </w:p>
    <w:p w14:paraId="108151BF"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r w:rsidRPr="00663F22">
        <w:rPr>
          <w:rFonts w:ascii="Arial" w:eastAsia="Times New Roman" w:hAnsi="Arial" w:cs="Times New Roman"/>
          <w:b/>
          <w:bCs/>
          <w:sz w:val="24"/>
          <w:szCs w:val="24"/>
          <w:lang w:eastAsia="de-DE"/>
        </w:rPr>
        <w:t>§ 3 Pflichten und Rechte</w:t>
      </w:r>
    </w:p>
    <w:p w14:paraId="4C29C7BB" w14:textId="77777777" w:rsidR="00663F22" w:rsidRPr="00663F22" w:rsidRDefault="00663F22" w:rsidP="00663F22">
      <w:pPr>
        <w:numPr>
          <w:ilvl w:val="0"/>
          <w:numId w:val="37"/>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Die Benutzung der Werkmietwohnungen steht ausschließlich den Mietern und den zu ihrem Haushalt zählenden Familienangehörigen zu. Eine Untervermietung ist nicht gestattet.</w:t>
      </w:r>
    </w:p>
    <w:p w14:paraId="79E02560" w14:textId="77777777" w:rsidR="00663F22" w:rsidRPr="00663F22" w:rsidRDefault="00663F22" w:rsidP="00663F22">
      <w:pPr>
        <w:numPr>
          <w:ilvl w:val="0"/>
          <w:numId w:val="37"/>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Das Werkwohnungsmietverhältnis wird bei Beendigung des Arbeitsverhältnisses des Mieters gekündigt. Eine angemessene Frist – die nicht mehr als drei Monate betragen soll – wird zur Räumung der Wohnung gewährt. Pensionäre oder Witwen von früheren Mitarbeitern fallen nicht unter diese Vereinbarung.</w:t>
      </w:r>
    </w:p>
    <w:p w14:paraId="2706C8EA" w14:textId="77777777" w:rsidR="00663F22" w:rsidRPr="00663F22" w:rsidRDefault="00663F22" w:rsidP="00663F22">
      <w:pPr>
        <w:numPr>
          <w:ilvl w:val="0"/>
          <w:numId w:val="37"/>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Die Durchführung von Schönheitsreparaturen wird jeweils im Mietvertrag geregelt. Eine Grundreparatur (Schönheitsreparatur) hat der Mieter je nach Mietvertrag zu Beginn oder bei Beendigung des Mietverhältnisses durchzuführen. Grundsätzlich hat der Mieter die Kosten der Schönheitsreparatur während der Mietzeit zu tragen. Nur in ausgesprochenen Sozialfällen sind Abweichungen von dieser Regelung möglich.</w:t>
      </w:r>
    </w:p>
    <w:p w14:paraId="4A56885B"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Cs w:val="24"/>
          <w:lang w:eastAsia="de-DE"/>
        </w:rPr>
      </w:pPr>
    </w:p>
    <w:p w14:paraId="74B9F29B"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r w:rsidRPr="00663F22">
        <w:rPr>
          <w:rFonts w:ascii="Arial" w:eastAsia="Times New Roman" w:hAnsi="Arial" w:cs="Times New Roman"/>
          <w:b/>
          <w:bCs/>
          <w:sz w:val="24"/>
          <w:szCs w:val="24"/>
          <w:lang w:eastAsia="de-DE"/>
        </w:rPr>
        <w:t>§ 4 Allgemeine Richtlinien</w:t>
      </w:r>
    </w:p>
    <w:p w14:paraId="1C9D2590" w14:textId="45835233" w:rsidR="00663F22" w:rsidRPr="00663F22" w:rsidRDefault="00663F22" w:rsidP="00663F22">
      <w:pPr>
        <w:numPr>
          <w:ilvl w:val="0"/>
          <w:numId w:val="38"/>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Die Wohnungen sollen nach Möglichkeit bei größeren Vermietern (z.</w:t>
      </w:r>
      <w:r>
        <w:rPr>
          <w:rFonts w:ascii="Arial" w:eastAsia="Times New Roman" w:hAnsi="Arial" w:cs="Times New Roman"/>
          <w:szCs w:val="20"/>
          <w:lang w:eastAsia="de-DE"/>
        </w:rPr>
        <w:t xml:space="preserve"> </w:t>
      </w:r>
      <w:r w:rsidRPr="00663F22">
        <w:rPr>
          <w:rFonts w:ascii="Arial" w:eastAsia="Times New Roman" w:hAnsi="Arial" w:cs="Times New Roman"/>
          <w:szCs w:val="20"/>
          <w:lang w:eastAsia="de-DE"/>
        </w:rPr>
        <w:t>B. Wohnungsbaugesell</w:t>
      </w:r>
      <w:r w:rsidRPr="00663F22">
        <w:rPr>
          <w:rFonts w:ascii="Arial" w:eastAsia="Times New Roman" w:hAnsi="Arial" w:cs="Times New Roman"/>
          <w:szCs w:val="20"/>
          <w:lang w:eastAsia="de-DE"/>
        </w:rPr>
        <w:softHyphen/>
        <w:t xml:space="preserve">schaften) und im Stadtgebiet von </w:t>
      </w:r>
      <w:r>
        <w:rPr>
          <w:rFonts w:ascii="Arial" w:eastAsia="Times New Roman" w:hAnsi="Arial" w:cs="Times New Roman"/>
          <w:szCs w:val="20"/>
          <w:lang w:eastAsia="de-DE"/>
        </w:rPr>
        <w:t>(</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r w:rsidRPr="00663F22">
        <w:rPr>
          <w:rFonts w:ascii="Arial" w:eastAsia="Times New Roman" w:hAnsi="Arial" w:cs="Times New Roman"/>
          <w:szCs w:val="20"/>
          <w:lang w:eastAsia="de-DE"/>
        </w:rPr>
        <w:t xml:space="preserve"> oder in verkehrstechnisch gut zu erreichenden Nachbar</w:t>
      </w:r>
      <w:r w:rsidRPr="00663F22">
        <w:rPr>
          <w:rFonts w:ascii="Arial" w:eastAsia="Times New Roman" w:hAnsi="Arial" w:cs="Times New Roman"/>
          <w:szCs w:val="20"/>
          <w:lang w:eastAsia="de-DE"/>
        </w:rPr>
        <w:softHyphen/>
        <w:t>orten gemietet werden.</w:t>
      </w:r>
    </w:p>
    <w:p w14:paraId="53B6C586" w14:textId="081C9229" w:rsidR="00663F22" w:rsidRPr="00663F22" w:rsidRDefault="00663F22" w:rsidP="00663F22">
      <w:pPr>
        <w:numPr>
          <w:ilvl w:val="0"/>
          <w:numId w:val="38"/>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 xml:space="preserve">Die zwischen den Mietern und der </w:t>
      </w:r>
      <w:r>
        <w:rPr>
          <w:rFonts w:ascii="Arial" w:eastAsia="Times New Roman" w:hAnsi="Arial" w:cs="Times New Roman"/>
          <w:szCs w:val="20"/>
          <w:lang w:eastAsia="de-DE"/>
        </w:rPr>
        <w:t>(</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r w:rsidRPr="00663F22">
        <w:rPr>
          <w:rFonts w:ascii="Arial" w:eastAsia="Times New Roman" w:hAnsi="Arial" w:cs="Times New Roman"/>
          <w:szCs w:val="20"/>
          <w:lang w:eastAsia="de-DE"/>
        </w:rPr>
        <w:t xml:space="preserve"> AG abzuschließenden Untermietverträge sind dem Hauptmietvertrag zwischen der </w:t>
      </w:r>
      <w:r>
        <w:rPr>
          <w:rFonts w:ascii="Arial" w:eastAsia="Times New Roman" w:hAnsi="Arial" w:cs="Times New Roman"/>
          <w:szCs w:val="20"/>
          <w:lang w:eastAsia="de-DE"/>
        </w:rPr>
        <w:t>(</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r w:rsidRPr="00663F22">
        <w:rPr>
          <w:rFonts w:ascii="Arial" w:eastAsia="Times New Roman" w:hAnsi="Arial" w:cs="Times New Roman"/>
          <w:szCs w:val="20"/>
          <w:lang w:eastAsia="de-DE"/>
        </w:rPr>
        <w:t xml:space="preserve"> AG und dem Hauseigentümer untergeordnet. Untermietvertrag und Hauptmietvertrag stimmen sinngemäß unter Berücksichtigung der Grundsätze für die Überlassung einer Werkmietwohnung überein.</w:t>
      </w:r>
    </w:p>
    <w:p w14:paraId="25C49912" w14:textId="2B5536E7" w:rsidR="00663F22" w:rsidRPr="00663F22" w:rsidRDefault="00663F22" w:rsidP="00663F22">
      <w:pPr>
        <w:numPr>
          <w:ilvl w:val="0"/>
          <w:numId w:val="38"/>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 xml:space="preserve">Die Rechte aus den zwischen Grundstückseigentümer und der </w:t>
      </w:r>
      <w:r>
        <w:rPr>
          <w:rFonts w:ascii="Arial" w:eastAsia="Times New Roman" w:hAnsi="Arial" w:cs="Times New Roman"/>
          <w:szCs w:val="20"/>
          <w:lang w:eastAsia="de-DE"/>
        </w:rPr>
        <w:t>(</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r w:rsidRPr="00663F22">
        <w:rPr>
          <w:rFonts w:ascii="Arial" w:eastAsia="Times New Roman" w:hAnsi="Arial" w:cs="Times New Roman"/>
          <w:szCs w:val="20"/>
          <w:lang w:eastAsia="de-DE"/>
        </w:rPr>
        <w:t xml:space="preserve"> AG abgeschlossenen Miet</w:t>
      </w:r>
      <w:r w:rsidRPr="00663F22">
        <w:rPr>
          <w:rFonts w:ascii="Arial" w:eastAsia="Times New Roman" w:hAnsi="Arial" w:cs="Times New Roman"/>
          <w:szCs w:val="20"/>
          <w:lang w:eastAsia="de-DE"/>
        </w:rPr>
        <w:softHyphen/>
        <w:t xml:space="preserve">verträgen müssen bei der </w:t>
      </w:r>
      <w:r>
        <w:rPr>
          <w:rFonts w:ascii="Arial" w:eastAsia="Times New Roman" w:hAnsi="Arial" w:cs="Times New Roman"/>
          <w:szCs w:val="20"/>
          <w:lang w:eastAsia="de-DE"/>
        </w:rPr>
        <w:t>(</w:t>
      </w:r>
      <w:r w:rsidRPr="00663F22">
        <w:rPr>
          <w:rFonts w:ascii="Arial" w:eastAsia="Times New Roman" w:hAnsi="Arial" w:cs="Times New Roman"/>
          <w:szCs w:val="20"/>
          <w:lang w:eastAsia="de-DE"/>
        </w:rPr>
        <w:t>...</w:t>
      </w:r>
      <w:r>
        <w:rPr>
          <w:rFonts w:ascii="Arial" w:eastAsia="Times New Roman" w:hAnsi="Arial" w:cs="Times New Roman"/>
          <w:szCs w:val="20"/>
          <w:lang w:eastAsia="de-DE"/>
        </w:rPr>
        <w:t>)</w:t>
      </w:r>
      <w:r w:rsidRPr="00663F22">
        <w:rPr>
          <w:rFonts w:ascii="Arial" w:eastAsia="Times New Roman" w:hAnsi="Arial" w:cs="Times New Roman"/>
          <w:szCs w:val="20"/>
          <w:lang w:eastAsia="de-DE"/>
        </w:rPr>
        <w:t xml:space="preserve"> AG verbleiben und sollen nicht auf den Wohnungsnutzenden übertragen werden. Die zu vereinbarende Mietdauer soll nicht unter fünf Jahren liegen. Für die Rechte an einer Wohnung – insbesondere für das Belegungsrecht – werden in der Regel von den Vermietern Zahlungen gefordert. Die ... AG übernimmt diese Aufwendungen, die jedoch so bemessen sein sollen, dass sie ihrer Höhe nach nicht den Charakter einer Mietvorauszahlung haben. Das wird immer dann der Fall sein, wenn der vereinbarte Mietzins über den Sätzen des sozialen Wohnungsbaus liegt.</w:t>
      </w:r>
    </w:p>
    <w:p w14:paraId="3FCC05AB" w14:textId="110234C9" w:rsidR="00663F22" w:rsidRDefault="00663F22" w:rsidP="00663F22">
      <w:pPr>
        <w:tabs>
          <w:tab w:val="left" w:pos="425"/>
          <w:tab w:val="left" w:pos="851"/>
          <w:tab w:val="left" w:pos="1928"/>
        </w:tabs>
        <w:spacing w:before="60" w:after="60" w:line="280" w:lineRule="exact"/>
        <w:ind w:left="425"/>
        <w:rPr>
          <w:rFonts w:ascii="Arial" w:eastAsia="Times New Roman" w:hAnsi="Arial" w:cs="Arial"/>
          <w:lang w:eastAsia="de-DE"/>
        </w:rPr>
      </w:pPr>
    </w:p>
    <w:p w14:paraId="023116E4" w14:textId="1C189663" w:rsidR="00663F22" w:rsidRPr="00663F22" w:rsidRDefault="00663F22" w:rsidP="00663F22">
      <w:pPr>
        <w:tabs>
          <w:tab w:val="left" w:pos="425"/>
          <w:tab w:val="left" w:pos="851"/>
          <w:tab w:val="left" w:pos="1928"/>
        </w:tabs>
        <w:spacing w:before="60" w:after="60" w:line="280" w:lineRule="exact"/>
        <w:ind w:left="425" w:hanging="425"/>
        <w:rPr>
          <w:rFonts w:ascii="Arial" w:eastAsia="Times New Roman" w:hAnsi="Arial" w:cs="Arial"/>
          <w:lang w:eastAsia="de-DE"/>
        </w:rPr>
      </w:pPr>
      <w:r w:rsidRPr="00663F22">
        <w:rPr>
          <w:rFonts w:ascii="Arial" w:eastAsia="Times New Roman" w:hAnsi="Arial" w:cs="Arial"/>
          <w:lang w:eastAsia="de-DE"/>
        </w:rPr>
        <w:lastRenderedPageBreak/>
        <w:t xml:space="preserve">Die oben genannten Aufwendungen für ein Belegungsrecht können auch darin bestehen, dass die </w:t>
      </w:r>
      <w:r>
        <w:rPr>
          <w:rFonts w:ascii="Arial" w:eastAsia="Times New Roman" w:hAnsi="Arial" w:cs="Arial"/>
          <w:lang w:eastAsia="de-DE"/>
        </w:rPr>
        <w:t>(</w:t>
      </w:r>
      <w:r w:rsidRPr="00663F22">
        <w:rPr>
          <w:rFonts w:ascii="Arial" w:eastAsia="Times New Roman" w:hAnsi="Arial" w:cs="Arial"/>
          <w:lang w:eastAsia="de-DE"/>
        </w:rPr>
        <w:t>...</w:t>
      </w:r>
      <w:r>
        <w:rPr>
          <w:rFonts w:ascii="Arial" w:eastAsia="Times New Roman" w:hAnsi="Arial" w:cs="Arial"/>
          <w:lang w:eastAsia="de-DE"/>
        </w:rPr>
        <w:t>)</w:t>
      </w:r>
      <w:r w:rsidRPr="00663F22">
        <w:rPr>
          <w:rFonts w:ascii="Arial" w:eastAsia="Times New Roman" w:hAnsi="Arial" w:cs="Arial"/>
          <w:lang w:eastAsia="de-DE"/>
        </w:rPr>
        <w:t xml:space="preserve"> AG die Kosten für Modernisierung oder sonstige Instandsetzungen (nicht Schönheits</w:t>
      </w:r>
      <w:r w:rsidRPr="00663F22">
        <w:rPr>
          <w:rFonts w:ascii="Arial" w:eastAsia="Times New Roman" w:hAnsi="Arial" w:cs="Arial"/>
          <w:lang w:eastAsia="de-DE"/>
        </w:rPr>
        <w:softHyphen/>
        <w:t>reparaturen) des Mietobjekts übernimmt. Diese Regelung wird häufig bei Altbauwohnungen zu vereinbaren sein.</w:t>
      </w:r>
    </w:p>
    <w:p w14:paraId="3047EA04" w14:textId="77777777" w:rsidR="00663F22" w:rsidRPr="00663F22" w:rsidRDefault="00663F22" w:rsidP="00663F22">
      <w:pPr>
        <w:numPr>
          <w:ilvl w:val="0"/>
          <w:numId w:val="38"/>
        </w:numPr>
        <w:tabs>
          <w:tab w:val="left" w:pos="425"/>
          <w:tab w:val="left" w:pos="851"/>
        </w:tabs>
        <w:spacing w:before="60" w:after="60" w:line="280" w:lineRule="exact"/>
        <w:ind w:left="425" w:hanging="425"/>
        <w:rPr>
          <w:rFonts w:ascii="Arial" w:eastAsia="Times New Roman" w:hAnsi="Arial" w:cs="Times New Roman"/>
          <w:szCs w:val="20"/>
          <w:lang w:eastAsia="de-DE"/>
        </w:rPr>
      </w:pPr>
      <w:r w:rsidRPr="00663F22">
        <w:rPr>
          <w:rFonts w:ascii="Arial" w:eastAsia="Times New Roman" w:hAnsi="Arial" w:cs="Times New Roman"/>
          <w:szCs w:val="20"/>
          <w:lang w:eastAsia="de-DE"/>
        </w:rPr>
        <w:t>Schwierigkeiten bei der Vergabe und Nutzung einer Werkmietwohnung werden in Zusammen</w:t>
      </w:r>
      <w:r w:rsidRPr="00663F22">
        <w:rPr>
          <w:rFonts w:ascii="Arial" w:eastAsia="Times New Roman" w:hAnsi="Arial" w:cs="Times New Roman"/>
          <w:szCs w:val="20"/>
          <w:lang w:eastAsia="de-DE"/>
        </w:rPr>
        <w:softHyphen/>
        <w:t>arbeit zwischen Personalabteilung, Grundstücksverwaltung und Betriebsrat geregelt.</w:t>
      </w:r>
    </w:p>
    <w:p w14:paraId="51E97658" w14:textId="77777777" w:rsidR="00663F22" w:rsidRPr="00663F22" w:rsidRDefault="00663F22" w:rsidP="00663F22">
      <w:pPr>
        <w:tabs>
          <w:tab w:val="left" w:pos="425"/>
          <w:tab w:val="left" w:pos="851"/>
        </w:tabs>
        <w:spacing w:before="60" w:after="60" w:line="280" w:lineRule="exact"/>
        <w:rPr>
          <w:rFonts w:ascii="Arial" w:eastAsia="Times New Roman" w:hAnsi="Arial" w:cs="Times New Roman"/>
          <w:szCs w:val="24"/>
          <w:lang w:eastAsia="de-DE"/>
        </w:rPr>
      </w:pPr>
    </w:p>
    <w:p w14:paraId="046DE51D" w14:textId="77777777"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b/>
          <w:bCs/>
          <w:sz w:val="24"/>
          <w:szCs w:val="24"/>
          <w:lang w:eastAsia="de-DE"/>
        </w:rPr>
      </w:pPr>
      <w:r w:rsidRPr="00663F22">
        <w:rPr>
          <w:rFonts w:ascii="Arial" w:eastAsia="Times New Roman" w:hAnsi="Arial" w:cs="Times New Roman"/>
          <w:b/>
          <w:bCs/>
          <w:sz w:val="24"/>
          <w:szCs w:val="24"/>
          <w:lang w:eastAsia="de-DE"/>
        </w:rPr>
        <w:t>§ 5 Schlussvorschriften</w:t>
      </w:r>
    </w:p>
    <w:p w14:paraId="06FB4688" w14:textId="2F237650" w:rsidR="00663F22" w:rsidRPr="00663F22" w:rsidRDefault="00663F22" w:rsidP="00663F22">
      <w:pPr>
        <w:tabs>
          <w:tab w:val="left" w:pos="425"/>
          <w:tab w:val="left" w:pos="851"/>
          <w:tab w:val="num" w:pos="1494"/>
        </w:tabs>
        <w:spacing w:before="60" w:after="60" w:line="280" w:lineRule="exact"/>
        <w:rPr>
          <w:rFonts w:ascii="Arial" w:eastAsia="Times New Roman" w:hAnsi="Arial" w:cs="Times New Roman"/>
          <w:szCs w:val="24"/>
          <w:lang w:eastAsia="de-DE"/>
        </w:rPr>
      </w:pPr>
      <w:r w:rsidRPr="00663F22">
        <w:rPr>
          <w:rFonts w:ascii="Arial" w:eastAsia="Times New Roman" w:hAnsi="Arial" w:cs="Times New Roman"/>
          <w:szCs w:val="24"/>
          <w:lang w:eastAsia="de-DE"/>
        </w:rPr>
        <w:t xml:space="preserve">Diese Vereinbarung tritt am </w:t>
      </w:r>
      <w:r>
        <w:rPr>
          <w:rFonts w:ascii="Arial" w:eastAsia="Times New Roman" w:hAnsi="Arial" w:cs="Times New Roman"/>
          <w:szCs w:val="24"/>
          <w:lang w:eastAsia="de-DE"/>
        </w:rPr>
        <w:t>(</w:t>
      </w:r>
      <w:r w:rsidRPr="00663F22">
        <w:rPr>
          <w:rFonts w:ascii="Arial" w:eastAsia="Times New Roman" w:hAnsi="Arial" w:cs="Times New Roman"/>
          <w:szCs w:val="24"/>
          <w:lang w:eastAsia="de-DE"/>
        </w:rPr>
        <w:t>...</w:t>
      </w:r>
      <w:r>
        <w:rPr>
          <w:rFonts w:ascii="Arial" w:eastAsia="Times New Roman" w:hAnsi="Arial" w:cs="Times New Roman"/>
          <w:szCs w:val="24"/>
          <w:lang w:eastAsia="de-DE"/>
        </w:rPr>
        <w:t>)</w:t>
      </w:r>
      <w:r w:rsidRPr="00663F22">
        <w:rPr>
          <w:rFonts w:ascii="Arial" w:eastAsia="Times New Roman" w:hAnsi="Arial" w:cs="Times New Roman"/>
          <w:szCs w:val="24"/>
          <w:lang w:eastAsia="de-DE"/>
        </w:rPr>
        <w:t xml:space="preserve"> in Kraft. Sie kann von beiden Seiten zum Ablauf eines Geschäfts</w:t>
      </w:r>
      <w:r w:rsidRPr="00663F22">
        <w:rPr>
          <w:rFonts w:ascii="Arial" w:eastAsia="Times New Roman" w:hAnsi="Arial" w:cs="Times New Roman"/>
          <w:szCs w:val="24"/>
          <w:lang w:eastAsia="de-DE"/>
        </w:rPr>
        <w:softHyphen/>
        <w:t>jahrs mit einer Frist von drei Monaten gekündigt werden.</w:t>
      </w:r>
    </w:p>
    <w:p w14:paraId="70CD7D56" w14:textId="77777777" w:rsidR="00663F22" w:rsidRPr="00663F22" w:rsidRDefault="00663F22" w:rsidP="00663F22">
      <w:pPr>
        <w:tabs>
          <w:tab w:val="left" w:pos="0"/>
          <w:tab w:val="left" w:pos="425"/>
          <w:tab w:val="left" w:pos="851"/>
        </w:tabs>
        <w:spacing w:before="60" w:after="60" w:line="280" w:lineRule="exact"/>
        <w:ind w:hanging="360"/>
        <w:rPr>
          <w:rFonts w:ascii="Arial" w:eastAsia="Times New Roman" w:hAnsi="Arial" w:cs="Arial"/>
          <w:lang w:eastAsia="de-DE"/>
        </w:rPr>
      </w:pPr>
    </w:p>
    <w:p w14:paraId="164E3359" w14:textId="77777777" w:rsidR="00663F22" w:rsidRPr="00663F22" w:rsidRDefault="00663F22" w:rsidP="00663F22">
      <w:pPr>
        <w:tabs>
          <w:tab w:val="left" w:pos="0"/>
          <w:tab w:val="left" w:pos="425"/>
          <w:tab w:val="left" w:pos="851"/>
        </w:tabs>
        <w:spacing w:before="60" w:after="60" w:line="280" w:lineRule="exact"/>
        <w:ind w:hanging="360"/>
        <w:rPr>
          <w:rFonts w:ascii="Arial" w:eastAsia="Times New Roman" w:hAnsi="Arial" w:cs="Arial"/>
          <w:lang w:eastAsia="de-DE"/>
        </w:rPr>
      </w:pPr>
    </w:p>
    <w:p w14:paraId="2475675D" w14:textId="77777777" w:rsidR="00663F22" w:rsidRDefault="00663F22" w:rsidP="00663F22"/>
    <w:sectPr w:rsidR="00663F22"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D8680" w14:textId="77777777" w:rsidR="009547A2" w:rsidRDefault="009547A2" w:rsidP="00645C6A">
      <w:pPr>
        <w:spacing w:after="0" w:line="240" w:lineRule="auto"/>
      </w:pPr>
      <w:r>
        <w:separator/>
      </w:r>
    </w:p>
  </w:endnote>
  <w:endnote w:type="continuationSeparator" w:id="0">
    <w:p w14:paraId="02585164" w14:textId="77777777" w:rsidR="009547A2" w:rsidRDefault="009547A2"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B560" w14:textId="6746E99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4059F">
      <w:rPr>
        <w:sz w:val="16"/>
        <w:szCs w:val="16"/>
      </w:rPr>
      <w:t>Ju</w:t>
    </w:r>
    <w:r w:rsidR="00F81D15">
      <w:rPr>
        <w:sz w:val="16"/>
        <w:szCs w:val="16"/>
      </w:rPr>
      <w:t>l</w:t>
    </w:r>
    <w:r w:rsidR="0064059F">
      <w:rPr>
        <w:sz w:val="16"/>
        <w:szCs w:val="16"/>
      </w:rPr>
      <w:t>i</w:t>
    </w:r>
    <w:r w:rsidR="00665585">
      <w:rPr>
        <w:sz w:val="16"/>
        <w:szCs w:val="16"/>
      </w:rPr>
      <w:t xml:space="preserve">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F233F" w14:textId="77777777" w:rsidR="009547A2" w:rsidRDefault="009547A2" w:rsidP="00645C6A">
      <w:pPr>
        <w:spacing w:after="0" w:line="240" w:lineRule="auto"/>
      </w:pPr>
      <w:r>
        <w:separator/>
      </w:r>
    </w:p>
  </w:footnote>
  <w:footnote w:type="continuationSeparator" w:id="0">
    <w:p w14:paraId="2C7CD863" w14:textId="77777777" w:rsidR="009547A2" w:rsidRDefault="009547A2"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FF3013D"/>
    <w:multiLevelType w:val="hybridMultilevel"/>
    <w:tmpl w:val="434AF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EC6C6A"/>
    <w:multiLevelType w:val="singleLevel"/>
    <w:tmpl w:val="AEE86794"/>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6" w15:restartNumberingAfterBreak="0">
    <w:nsid w:val="1E222655"/>
    <w:multiLevelType w:val="hybridMultilevel"/>
    <w:tmpl w:val="95A2F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B92B45"/>
    <w:multiLevelType w:val="hybridMultilevel"/>
    <w:tmpl w:val="717AEF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18768AC"/>
    <w:multiLevelType w:val="singleLevel"/>
    <w:tmpl w:val="85DA662C"/>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9" w15:restartNumberingAfterBreak="0">
    <w:nsid w:val="247841F3"/>
    <w:multiLevelType w:val="hybridMultilevel"/>
    <w:tmpl w:val="82069E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A3022CA"/>
    <w:multiLevelType w:val="hybridMultilevel"/>
    <w:tmpl w:val="C6E27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6F39F3"/>
    <w:multiLevelType w:val="hybridMultilevel"/>
    <w:tmpl w:val="E07ED5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D02FCB"/>
    <w:multiLevelType w:val="hybridMultilevel"/>
    <w:tmpl w:val="9C1ED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4B1964"/>
    <w:multiLevelType w:val="hybridMultilevel"/>
    <w:tmpl w:val="74403E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442D20"/>
    <w:multiLevelType w:val="hybridMultilevel"/>
    <w:tmpl w:val="C450D8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1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8" w15:restartNumberingAfterBreak="0">
    <w:nsid w:val="3EB9039D"/>
    <w:multiLevelType w:val="hybridMultilevel"/>
    <w:tmpl w:val="A9ACB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F973D89"/>
    <w:multiLevelType w:val="hybridMultilevel"/>
    <w:tmpl w:val="E1B43C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1AF0EC1"/>
    <w:multiLevelType w:val="hybridMultilevel"/>
    <w:tmpl w:val="4940AA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C36298"/>
    <w:multiLevelType w:val="hybridMultilevel"/>
    <w:tmpl w:val="6E005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4BB0137"/>
    <w:multiLevelType w:val="singleLevel"/>
    <w:tmpl w:val="68F61D0A"/>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24" w15:restartNumberingAfterBreak="0">
    <w:nsid w:val="4F4F5A55"/>
    <w:multiLevelType w:val="hybridMultilevel"/>
    <w:tmpl w:val="4BF8C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354CC6"/>
    <w:multiLevelType w:val="hybridMultilevel"/>
    <w:tmpl w:val="0EC60A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49A5BAD"/>
    <w:multiLevelType w:val="hybridMultilevel"/>
    <w:tmpl w:val="AF56F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6B87578"/>
    <w:multiLevelType w:val="hybridMultilevel"/>
    <w:tmpl w:val="A3241A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A3E2B4C"/>
    <w:multiLevelType w:val="singleLevel"/>
    <w:tmpl w:val="D7AC73C6"/>
    <w:lvl w:ilvl="0">
      <w:start w:val="1"/>
      <w:numFmt w:val="decimal"/>
      <w:lvlText w:val="%1."/>
      <w:lvlJc w:val="left"/>
      <w:pPr>
        <w:tabs>
          <w:tab w:val="num" w:pos="1491"/>
        </w:tabs>
        <w:ind w:left="1848" w:hanging="357"/>
      </w:pPr>
      <w:rPr>
        <w:rFonts w:ascii="Arial" w:hAnsi="Arial" w:cs="Arial"/>
        <w:b w:val="0"/>
        <w:i w:val="0"/>
        <w:color w:val="000000"/>
        <w:position w:val="0"/>
        <w:sz w:val="22"/>
        <w:u w:val="none"/>
      </w:rPr>
    </w:lvl>
  </w:abstractNum>
  <w:abstractNum w:abstractNumId="31" w15:restartNumberingAfterBreak="0">
    <w:nsid w:val="73997E9D"/>
    <w:multiLevelType w:val="hybridMultilevel"/>
    <w:tmpl w:val="3A5409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7D15E3F"/>
    <w:multiLevelType w:val="hybridMultilevel"/>
    <w:tmpl w:val="BB7894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A892415"/>
    <w:multiLevelType w:val="hybridMultilevel"/>
    <w:tmpl w:val="0074C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35" w15:restartNumberingAfterBreak="0">
    <w:nsid w:val="7DCF32C8"/>
    <w:multiLevelType w:val="hybridMultilevel"/>
    <w:tmpl w:val="A5BC8D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36"/>
  </w:num>
  <w:num w:numId="2" w16cid:durableId="1753159609">
    <w:abstractNumId w:val="0"/>
  </w:num>
  <w:num w:numId="3" w16cid:durableId="299195582">
    <w:abstractNumId w:val="28"/>
  </w:num>
  <w:num w:numId="4" w16cid:durableId="609433223">
    <w:abstractNumId w:val="27"/>
  </w:num>
  <w:num w:numId="5" w16cid:durableId="1792286543">
    <w:abstractNumId w:val="1"/>
  </w:num>
  <w:num w:numId="6" w16cid:durableId="245774472">
    <w:abstractNumId w:val="34"/>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10"/>
  </w:num>
  <w:num w:numId="9" w16cid:durableId="1131706096">
    <w:abstractNumId w:val="2"/>
  </w:num>
  <w:num w:numId="10" w16cid:durableId="1732583920">
    <w:abstractNumId w:val="17"/>
  </w:num>
  <w:num w:numId="11" w16cid:durableId="759571428">
    <w:abstractNumId w:val="22"/>
  </w:num>
  <w:num w:numId="12" w16cid:durableId="944966164">
    <w:abstractNumId w:val="16"/>
  </w:num>
  <w:num w:numId="13" w16cid:durableId="1743597473">
    <w:abstractNumId w:val="3"/>
  </w:num>
  <w:num w:numId="14" w16cid:durableId="83116333">
    <w:abstractNumId w:val="7"/>
  </w:num>
  <w:num w:numId="15" w16cid:durableId="1701395230">
    <w:abstractNumId w:val="13"/>
  </w:num>
  <w:num w:numId="16" w16cid:durableId="1538661438">
    <w:abstractNumId w:val="9"/>
  </w:num>
  <w:num w:numId="17" w16cid:durableId="1618415095">
    <w:abstractNumId w:val="33"/>
  </w:num>
  <w:num w:numId="18" w16cid:durableId="1798403125">
    <w:abstractNumId w:val="25"/>
  </w:num>
  <w:num w:numId="19" w16cid:durableId="481118476">
    <w:abstractNumId w:val="6"/>
  </w:num>
  <w:num w:numId="20" w16cid:durableId="243877539">
    <w:abstractNumId w:val="14"/>
  </w:num>
  <w:num w:numId="21" w16cid:durableId="528102395">
    <w:abstractNumId w:val="24"/>
  </w:num>
  <w:num w:numId="22" w16cid:durableId="1709716868">
    <w:abstractNumId w:val="15"/>
  </w:num>
  <w:num w:numId="23" w16cid:durableId="1531797792">
    <w:abstractNumId w:val="21"/>
  </w:num>
  <w:num w:numId="24" w16cid:durableId="2007367697">
    <w:abstractNumId w:val="12"/>
  </w:num>
  <w:num w:numId="25" w16cid:durableId="712845785">
    <w:abstractNumId w:val="11"/>
  </w:num>
  <w:num w:numId="26" w16cid:durableId="1243680536">
    <w:abstractNumId w:val="20"/>
  </w:num>
  <w:num w:numId="27" w16cid:durableId="391200890">
    <w:abstractNumId w:val="26"/>
  </w:num>
  <w:num w:numId="28" w16cid:durableId="173494230">
    <w:abstractNumId w:val="4"/>
  </w:num>
  <w:num w:numId="29" w16cid:durableId="587277153">
    <w:abstractNumId w:val="29"/>
  </w:num>
  <w:num w:numId="30" w16cid:durableId="1965496539">
    <w:abstractNumId w:val="18"/>
  </w:num>
  <w:num w:numId="31" w16cid:durableId="2127574471">
    <w:abstractNumId w:val="19"/>
  </w:num>
  <w:num w:numId="32" w16cid:durableId="438915971">
    <w:abstractNumId w:val="35"/>
  </w:num>
  <w:num w:numId="33" w16cid:durableId="1802377276">
    <w:abstractNumId w:val="32"/>
  </w:num>
  <w:num w:numId="34" w16cid:durableId="2000694661">
    <w:abstractNumId w:val="31"/>
  </w:num>
  <w:num w:numId="35" w16cid:durableId="691344578">
    <w:abstractNumId w:val="23"/>
  </w:num>
  <w:num w:numId="36" w16cid:durableId="1242524264">
    <w:abstractNumId w:val="30"/>
  </w:num>
  <w:num w:numId="37" w16cid:durableId="1625387201">
    <w:abstractNumId w:val="8"/>
  </w:num>
  <w:num w:numId="38" w16cid:durableId="5003947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5ABB"/>
    <w:rsid w:val="000503DC"/>
    <w:rsid w:val="00051EEE"/>
    <w:rsid w:val="000C1235"/>
    <w:rsid w:val="000F3088"/>
    <w:rsid w:val="00121702"/>
    <w:rsid w:val="0012313C"/>
    <w:rsid w:val="00154639"/>
    <w:rsid w:val="0020401E"/>
    <w:rsid w:val="0022123D"/>
    <w:rsid w:val="00267D40"/>
    <w:rsid w:val="00273B98"/>
    <w:rsid w:val="002E013A"/>
    <w:rsid w:val="00322814"/>
    <w:rsid w:val="0043100C"/>
    <w:rsid w:val="004E2612"/>
    <w:rsid w:val="004E4B9B"/>
    <w:rsid w:val="00544E6A"/>
    <w:rsid w:val="005B72E6"/>
    <w:rsid w:val="005C1193"/>
    <w:rsid w:val="005E2E83"/>
    <w:rsid w:val="0060094E"/>
    <w:rsid w:val="0062183F"/>
    <w:rsid w:val="0064059F"/>
    <w:rsid w:val="00645C6A"/>
    <w:rsid w:val="006527DB"/>
    <w:rsid w:val="00663F22"/>
    <w:rsid w:val="00665585"/>
    <w:rsid w:val="0068403C"/>
    <w:rsid w:val="00730DBA"/>
    <w:rsid w:val="007661E2"/>
    <w:rsid w:val="007B14D4"/>
    <w:rsid w:val="007C20F8"/>
    <w:rsid w:val="007D7EA1"/>
    <w:rsid w:val="00800A1E"/>
    <w:rsid w:val="00832419"/>
    <w:rsid w:val="008337B7"/>
    <w:rsid w:val="00846C4B"/>
    <w:rsid w:val="0087317C"/>
    <w:rsid w:val="008757A7"/>
    <w:rsid w:val="008B13A0"/>
    <w:rsid w:val="008B75BF"/>
    <w:rsid w:val="008D4696"/>
    <w:rsid w:val="008F1965"/>
    <w:rsid w:val="009547A2"/>
    <w:rsid w:val="009D1ADA"/>
    <w:rsid w:val="00A61090"/>
    <w:rsid w:val="00A81E88"/>
    <w:rsid w:val="00A85931"/>
    <w:rsid w:val="00A9579E"/>
    <w:rsid w:val="00AA5298"/>
    <w:rsid w:val="00AB6068"/>
    <w:rsid w:val="00AC6AD8"/>
    <w:rsid w:val="00B42537"/>
    <w:rsid w:val="00B778B3"/>
    <w:rsid w:val="00BE3933"/>
    <w:rsid w:val="00C512C3"/>
    <w:rsid w:val="00CA2E5C"/>
    <w:rsid w:val="00CB5669"/>
    <w:rsid w:val="00CC14C0"/>
    <w:rsid w:val="00D33CF9"/>
    <w:rsid w:val="00DC677A"/>
    <w:rsid w:val="00DD28A9"/>
    <w:rsid w:val="00E24430"/>
    <w:rsid w:val="00E9159F"/>
    <w:rsid w:val="00F81D15"/>
    <w:rsid w:val="00F979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 w:type="paragraph" w:styleId="Listenabsatz">
    <w:name w:val="List Paragraph"/>
    <w:basedOn w:val="Standard"/>
    <w:uiPriority w:val="34"/>
    <w:qFormat/>
    <w:rsid w:val="00CA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4420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13</cp:revision>
  <dcterms:created xsi:type="dcterms:W3CDTF">2025-02-26T10:22:00Z</dcterms:created>
  <dcterms:modified xsi:type="dcterms:W3CDTF">2025-04-08T13:56:00Z</dcterms:modified>
</cp:coreProperties>
</file>