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>
      <w:bookmarkStart w:id="0" w:name="_GoBack"/>
      <w:bookmarkEnd w:id="0"/>
    </w:p>
    <w:p w:rsidR="007846B2" w:rsidRDefault="007846B2"/>
    <w:p w:rsidR="00BE3933" w:rsidRDefault="00856EDC" w:rsidP="00856EDC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856EDC">
        <w:rPr>
          <w:rFonts w:cs="Times New Roman"/>
          <w:b/>
          <w:color w:val="943634" w:themeColor="accent2" w:themeShade="BF"/>
          <w:sz w:val="28"/>
          <w:szCs w:val="28"/>
        </w:rPr>
        <w:t>Einstellung: Prüfungskriterien für eine mitbestimmungspflichtige Einstellung</w:t>
      </w:r>
    </w:p>
    <w:p w:rsidR="00856EDC" w:rsidRPr="00856EDC" w:rsidRDefault="00856EDC" w:rsidP="00856EDC">
      <w:pPr>
        <w:jc w:val="both"/>
        <w:rPr>
          <w:rFonts w:cs="Times New Roman"/>
          <w:sz w:val="24"/>
          <w:szCs w:val="24"/>
        </w:rPr>
      </w:pPr>
      <w:r w:rsidRPr="00856EDC">
        <w:rPr>
          <w:rFonts w:cs="Times New Roman"/>
          <w:sz w:val="24"/>
          <w:szCs w:val="24"/>
        </w:rPr>
        <w:t>Unter einer „Einstellung“ versteht die aktuelle BAG-Rechtsprechung nicht den Abschluss eines Arbeitsvertrags, sondern die tatsächliche Eingliederung des einzustellenden Arbeitnehmers in den Betrieb. Eine Eingliederung in den Betrieb liegt dabei vor, wenn eine Person – zusammen mit den im Betrieb beschäftigten Arbeitnehmern – weisungsgebunden den arbeitstechnischen Zweck des Betriebs erfüllt; damit kommt es auf die Art des Recht</w:t>
      </w:r>
      <w:r>
        <w:rPr>
          <w:rFonts w:cs="Times New Roman"/>
          <w:sz w:val="24"/>
          <w:szCs w:val="24"/>
        </w:rPr>
        <w:t>sverhältnisses zwischen Ar</w:t>
      </w:r>
      <w:r w:rsidRPr="00856EDC">
        <w:rPr>
          <w:rFonts w:cs="Times New Roman"/>
          <w:sz w:val="24"/>
          <w:szCs w:val="24"/>
        </w:rPr>
        <w:t>beitgeber und eingegliederter Person gar nicht an; dem Bet</w:t>
      </w:r>
      <w:r>
        <w:rPr>
          <w:rFonts w:cs="Times New Roman"/>
          <w:sz w:val="24"/>
          <w:szCs w:val="24"/>
        </w:rPr>
        <w:t>riebsrat steht daher das Mitwir</w:t>
      </w:r>
      <w:r w:rsidRPr="00856EDC">
        <w:rPr>
          <w:rFonts w:cs="Times New Roman"/>
          <w:sz w:val="24"/>
          <w:szCs w:val="24"/>
        </w:rPr>
        <w:t>kungsrecht auch beim Einsatz von Leiharbeitnehmern nach § 14 AÜG sowie bei „verdeckter“ Arbeitnehmerüberlassung zu.</w:t>
      </w:r>
    </w:p>
    <w:p w:rsidR="00856EDC" w:rsidRDefault="00856EDC" w:rsidP="00856EDC">
      <w:pPr>
        <w:jc w:val="both"/>
        <w:rPr>
          <w:rFonts w:cs="Times New Roman"/>
          <w:sz w:val="24"/>
          <w:szCs w:val="24"/>
        </w:rPr>
      </w:pPr>
      <w:r w:rsidRPr="00856EDC">
        <w:rPr>
          <w:rFonts w:cs="Times New Roman"/>
          <w:sz w:val="24"/>
          <w:szCs w:val="24"/>
        </w:rPr>
        <w:t>Nach höchstrichterlicher Rechtsprechung des BAG sind insofe</w:t>
      </w:r>
      <w:r>
        <w:rPr>
          <w:rFonts w:cs="Times New Roman"/>
          <w:sz w:val="24"/>
          <w:szCs w:val="24"/>
        </w:rPr>
        <w:t>rn bei der Frage, ob eine mitbe</w:t>
      </w:r>
      <w:r w:rsidRPr="00856EDC">
        <w:rPr>
          <w:rFonts w:cs="Times New Roman"/>
          <w:sz w:val="24"/>
          <w:szCs w:val="24"/>
        </w:rPr>
        <w:t>stimmungspflichtige Einstellung/Eingliederung vorliegt, folgende Kriterien zu prüfen:</w:t>
      </w:r>
    </w:p>
    <w:tbl>
      <w:tblPr>
        <w:tblStyle w:val="Tabellenraster1"/>
        <w:tblW w:w="0" w:type="auto"/>
        <w:tblInd w:w="8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632"/>
        <w:gridCol w:w="1525"/>
      </w:tblGrid>
      <w:tr w:rsidR="00856EDC" w:rsidRPr="00856EDC" w:rsidTr="008A7691">
        <w:tc>
          <w:tcPr>
            <w:tcW w:w="7797" w:type="dxa"/>
            <w:shd w:val="clear" w:color="auto" w:fill="C0C0C0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40" w:before="96" w:afterLines="40" w:after="96" w:line="280" w:lineRule="exact"/>
              <w:textAlignment w:val="baseline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559" w:type="dxa"/>
            <w:shd w:val="clear" w:color="auto" w:fill="C0C0C0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  <w:b/>
              </w:rPr>
            </w:pPr>
            <w:r w:rsidRPr="00856EDC">
              <w:rPr>
                <w:rFonts w:asciiTheme="minorHAnsi" w:eastAsia="Times New Roman" w:hAnsiTheme="minorHAnsi" w:cs="Arial"/>
                <w:b/>
              </w:rPr>
              <w:t>ok</w:t>
            </w:r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357"/>
                <w:tab w:val="left" w:pos="425"/>
                <w:tab w:val="left" w:pos="851"/>
              </w:tabs>
              <w:spacing w:before="60" w:after="60" w:line="280" w:lineRule="exact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Liegt eine Eingliederung in die bestehende Betriebsorganisation vor?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  <w:bookmarkEnd w:id="1"/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708"/>
              </w:tabs>
              <w:spacing w:before="120" w:after="120" w:line="300" w:lineRule="auto"/>
              <w:rPr>
                <w:rFonts w:asciiTheme="minorHAnsi" w:eastAsia="Times New Roman" w:hAnsiTheme="minorHAnsi"/>
                <w:color w:val="000000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Sind typische Entscheidungen über den Arbeitseinsatz – auch nach Ort und Zeit – zu treffen?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Ermittlung der tatsächlichen innerbetrieblichen Umstände; äußere Umstände, die eine Zusammenarbeit mit den Arbeitnehmern des Betriebs notwendig machen, sind irrelevant.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  <w:tab w:val="left" w:pos="1848"/>
              </w:tabs>
              <w:spacing w:before="60" w:after="60" w:line="280" w:lineRule="exact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Besteht Weisungsgebundenheit?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  <w:tab w:val="left" w:pos="1491"/>
              </w:tabs>
              <w:spacing w:before="60" w:after="60" w:line="280" w:lineRule="exact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Werden arbeitstechnische Zwecke verfolgt – wie bei den anderen Arbeitnehmern?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</w:p>
        </w:tc>
      </w:tr>
      <w:tr w:rsidR="00856EDC" w:rsidRPr="00856EDC" w:rsidTr="008A7691">
        <w:tc>
          <w:tcPr>
            <w:tcW w:w="7797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  <w:tab w:val="left" w:pos="1491"/>
              </w:tabs>
              <w:spacing w:before="60" w:after="60" w:line="280" w:lineRule="exact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856EDC">
              <w:rPr>
                <w:rFonts w:asciiTheme="minorHAnsi" w:eastAsia="Times New Roman" w:hAnsiTheme="minorHAnsi"/>
                <w:color w:val="000000"/>
              </w:rPr>
              <w:t>Werden Tätigkeiten verrichtet, die auch andere Arbeitnehmer ausüben?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856EDC" w:rsidRPr="00856EDC" w:rsidRDefault="00856EDC" w:rsidP="00856EDC">
            <w:pPr>
              <w:tabs>
                <w:tab w:val="left" w:pos="425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Lines="30" w:before="72" w:afterLines="30" w:after="72" w:line="280" w:lineRule="exact"/>
              <w:ind w:left="459" w:hanging="459"/>
              <w:jc w:val="center"/>
              <w:textAlignment w:val="baseline"/>
              <w:rPr>
                <w:rFonts w:asciiTheme="minorHAnsi" w:eastAsia="Times New Roman" w:hAnsiTheme="minorHAnsi" w:cs="Arial"/>
              </w:rPr>
            </w:pPr>
            <w:r w:rsidRPr="00856EDC">
              <w:rPr>
                <w:rFonts w:asciiTheme="minorHAnsi" w:eastAsia="Times New Roman" w:hAnsiTheme="minorHAnsi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C">
              <w:rPr>
                <w:rFonts w:asciiTheme="minorHAnsi" w:eastAsia="Times New Roman" w:hAnsiTheme="minorHAnsi" w:cs="Arial"/>
              </w:rPr>
              <w:instrText xml:space="preserve"> FORMCHECKBOX </w:instrText>
            </w:r>
            <w:r w:rsidRPr="00856EDC">
              <w:rPr>
                <w:rFonts w:asciiTheme="minorHAnsi" w:eastAsia="Times New Roman" w:hAnsiTheme="minorHAnsi" w:cs="Arial"/>
              </w:rPr>
            </w:r>
            <w:r w:rsidRPr="00856EDC">
              <w:rPr>
                <w:rFonts w:asciiTheme="minorHAnsi" w:eastAsia="Times New Roman" w:hAnsiTheme="minorHAnsi" w:cs="Arial"/>
              </w:rPr>
              <w:fldChar w:fldCharType="separate"/>
            </w:r>
            <w:r w:rsidRPr="00856EDC">
              <w:rPr>
                <w:rFonts w:asciiTheme="minorHAnsi" w:eastAsia="Times New Roman" w:hAnsiTheme="minorHAnsi" w:cs="Arial"/>
              </w:rPr>
              <w:fldChar w:fldCharType="end"/>
            </w:r>
          </w:p>
        </w:tc>
      </w:tr>
    </w:tbl>
    <w:p w:rsidR="00856EDC" w:rsidRPr="00856EDC" w:rsidRDefault="00856EDC" w:rsidP="00856EDC">
      <w:pPr>
        <w:jc w:val="both"/>
        <w:rPr>
          <w:rFonts w:cs="Times New Roman"/>
          <w:sz w:val="24"/>
          <w:szCs w:val="24"/>
        </w:rPr>
      </w:pPr>
    </w:p>
    <w:sectPr w:rsidR="00856EDC" w:rsidRPr="00856ED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856EDC" w:rsidRDefault="008368C8" w:rsidP="008368C8">
    <w:pPr>
      <w:pStyle w:val="Fuzeile"/>
      <w:rPr>
        <w:b/>
        <w:color w:val="A6A6A6" w:themeColor="background1" w:themeShade="A6"/>
        <w:sz w:val="16"/>
        <w:szCs w:val="16"/>
        <w:lang w:val="en-US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68C8">
      <w:rPr>
        <w:b/>
        <w:color w:val="A6A6A6" w:themeColor="background1" w:themeShade="A6"/>
        <w:sz w:val="18"/>
        <w:szCs w:val="18"/>
        <w:lang w:val="en-US"/>
      </w:rPr>
      <w:t xml:space="preserve">    </w:t>
    </w:r>
    <w:proofErr w:type="gramStart"/>
    <w:r w:rsidR="00EF6068" w:rsidRPr="008368C8">
      <w:rPr>
        <w:b/>
        <w:color w:val="A6A6A6" w:themeColor="background1" w:themeShade="A6"/>
        <w:sz w:val="16"/>
        <w:szCs w:val="16"/>
        <w:lang w:val="en-US"/>
      </w:rPr>
      <w:t>©  WEKA</w:t>
    </w:r>
    <w:proofErr w:type="gramEnd"/>
    <w:r w:rsidR="00EF6068" w:rsidRPr="008368C8">
      <w:rPr>
        <w:b/>
        <w:color w:val="A6A6A6" w:themeColor="background1" w:themeShade="A6"/>
        <w:sz w:val="16"/>
        <w:szCs w:val="16"/>
        <w:lang w:val="en-US"/>
      </w:rPr>
      <w:t xml:space="preserve"> MEDIA GmbH &amp; Co. </w:t>
    </w:r>
    <w:r w:rsidR="00EF6068" w:rsidRPr="00856EDC">
      <w:rPr>
        <w:b/>
        <w:color w:val="A6A6A6" w:themeColor="background1" w:themeShade="A6"/>
        <w:sz w:val="16"/>
        <w:szCs w:val="16"/>
        <w:lang w:val="en-US"/>
      </w:rPr>
      <w:t xml:space="preserve">KG | </w:t>
    </w:r>
    <w:r w:rsidR="005B4314" w:rsidRPr="00856EDC">
      <w:rPr>
        <w:b/>
        <w:color w:val="A6A6A6" w:themeColor="background1" w:themeShade="A6"/>
        <w:sz w:val="16"/>
        <w:szCs w:val="16"/>
        <w:lang w:val="en-US"/>
      </w:rPr>
      <w:t>Jan</w:t>
    </w:r>
    <w:r w:rsidR="00CD4983" w:rsidRPr="00856EDC">
      <w:rPr>
        <w:b/>
        <w:color w:val="A6A6A6" w:themeColor="background1" w:themeShade="A6"/>
        <w:sz w:val="16"/>
        <w:szCs w:val="16"/>
        <w:lang w:val="en-US"/>
      </w:rPr>
      <w:t xml:space="preserve"> 201</w:t>
    </w:r>
    <w:r w:rsidR="005B4314" w:rsidRPr="00856EDC">
      <w:rPr>
        <w:b/>
        <w:color w:val="A6A6A6" w:themeColor="background1" w:themeShade="A6"/>
        <w:sz w:val="16"/>
        <w:szCs w:val="16"/>
        <w:lang w:val="en-US"/>
      </w:rPr>
      <w:t>9</w:t>
    </w:r>
    <w:r w:rsidR="00645C6A" w:rsidRPr="00856EDC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2" w:history="1">
      <w:r w:rsidRPr="00856EDC">
        <w:rPr>
          <w:rStyle w:val="Hyperlink"/>
          <w:b/>
          <w:sz w:val="16"/>
          <w:szCs w:val="16"/>
          <w:lang w:val="en-US"/>
        </w:rPr>
        <w:t>www.betriebsrat-kompakt.de</w:t>
      </w:r>
    </w:hyperlink>
    <w:r w:rsidRPr="00856EDC">
      <w:rPr>
        <w:b/>
        <w:color w:val="A6A6A6" w:themeColor="background1" w:themeShade="A6"/>
        <w:sz w:val="16"/>
        <w:szCs w:val="16"/>
        <w:lang w:val="en-US"/>
      </w:rPr>
      <w:t xml:space="preserve"> | </w:t>
    </w:r>
    <w:hyperlink r:id="rId3" w:history="1">
      <w:r w:rsidRPr="00856EDC">
        <w:rPr>
          <w:rStyle w:val="Hyperlink"/>
          <w:b/>
          <w:sz w:val="16"/>
          <w:szCs w:val="16"/>
          <w:lang w:val="en-US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E66085" w:rsidP="00E6608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121273" cy="5998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92" cy="60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15F"/>
    <w:multiLevelType w:val="hybridMultilevel"/>
    <w:tmpl w:val="6350565E"/>
    <w:lvl w:ilvl="0" w:tplc="F15E4B34">
      <w:numFmt w:val="bullet"/>
      <w:lvlText w:val="©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3583E"/>
    <w:multiLevelType w:val="hybridMultilevel"/>
    <w:tmpl w:val="864202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04C23"/>
    <w:rsid w:val="000C1235"/>
    <w:rsid w:val="000F3088"/>
    <w:rsid w:val="00154639"/>
    <w:rsid w:val="001E0EAC"/>
    <w:rsid w:val="00332460"/>
    <w:rsid w:val="0043100C"/>
    <w:rsid w:val="004A7F42"/>
    <w:rsid w:val="004E4B9B"/>
    <w:rsid w:val="00513F44"/>
    <w:rsid w:val="005B4314"/>
    <w:rsid w:val="005B72E6"/>
    <w:rsid w:val="005C1193"/>
    <w:rsid w:val="005E2E83"/>
    <w:rsid w:val="0062183F"/>
    <w:rsid w:val="00645C6A"/>
    <w:rsid w:val="007846B2"/>
    <w:rsid w:val="007B14D4"/>
    <w:rsid w:val="007C20F8"/>
    <w:rsid w:val="008368C8"/>
    <w:rsid w:val="00856EDC"/>
    <w:rsid w:val="008F1965"/>
    <w:rsid w:val="009D1ADA"/>
    <w:rsid w:val="009E0EB1"/>
    <w:rsid w:val="00A61090"/>
    <w:rsid w:val="00AB6068"/>
    <w:rsid w:val="00B444E9"/>
    <w:rsid w:val="00BE3933"/>
    <w:rsid w:val="00CC14C0"/>
    <w:rsid w:val="00CD4983"/>
    <w:rsid w:val="00D33CF9"/>
    <w:rsid w:val="00E14C60"/>
    <w:rsid w:val="00E66085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856E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68C8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856E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weka.intern\prod\Produktion\_Mit\i.b.m.%20Produkte\00105_Betriebsrat%20KOMPAKT\Webinare\2019\Apr_Einstellungen\www.urteilsticker-betriebsrat.de" TargetMode="External"/><Relationship Id="rId2" Type="http://schemas.openxmlformats.org/officeDocument/2006/relationships/hyperlink" Target="http://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2019-03-15T09:47:00Z</dcterms:created>
  <dcterms:modified xsi:type="dcterms:W3CDTF">2019-03-15T09:47:00Z</dcterms:modified>
</cp:coreProperties>
</file>