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01EA7E47" w14:textId="77777777" w:rsidR="00E816AE" w:rsidRPr="00E816AE" w:rsidRDefault="00E816AE" w:rsidP="00E816AE">
      <w:pPr>
        <w:widowControl w:val="0"/>
        <w:autoSpaceDE w:val="0"/>
        <w:autoSpaceDN w:val="0"/>
        <w:adjustRightInd w:val="0"/>
        <w:jc w:val="center"/>
        <w:rPr>
          <w:rFonts w:ascii="Arial" w:eastAsia="Calibri" w:hAnsi="Arial" w:cs="Times New Roman"/>
          <w:b/>
          <w:bCs/>
          <w:sz w:val="28"/>
          <w:szCs w:val="28"/>
        </w:rPr>
      </w:pPr>
      <w:r w:rsidRPr="00E816AE">
        <w:rPr>
          <w:rFonts w:ascii="Arial" w:eastAsia="Calibri" w:hAnsi="Arial" w:cs="Times New Roman"/>
          <w:b/>
          <w:bCs/>
          <w:sz w:val="28"/>
          <w:szCs w:val="28"/>
        </w:rPr>
        <w:t>Gratifikation: Einsichtnahme in Gehaltsliste zur Überwachung der Gleichbehandlung (§ 80 Abs. 2 BetrVG)</w:t>
      </w:r>
    </w:p>
    <w:p w14:paraId="1EBEC588"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p>
    <w:p w14:paraId="17ACB804"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r w:rsidRPr="00E816AE">
        <w:rPr>
          <w:rFonts w:ascii="Arial" w:eastAsia="Calibri" w:hAnsi="Arial" w:cs="Times New Roman"/>
          <w:bCs/>
        </w:rPr>
        <w:t>Der Betriebsrat</w:t>
      </w:r>
      <w:r w:rsidRPr="00E816AE">
        <w:rPr>
          <w:rFonts w:ascii="Arial" w:eastAsia="Calibri" w:hAnsi="Arial" w:cs="Times New Roman"/>
          <w:bCs/>
        </w:rPr>
        <w:tab/>
      </w:r>
      <w:r w:rsidRPr="00E816AE">
        <w:rPr>
          <w:rFonts w:ascii="Arial" w:eastAsia="Calibri" w:hAnsi="Arial" w:cs="Times New Roman"/>
          <w:bCs/>
        </w:rPr>
        <w:tab/>
      </w:r>
      <w:r w:rsidRPr="00E816AE">
        <w:rPr>
          <w:rFonts w:ascii="Arial" w:eastAsia="Calibri" w:hAnsi="Arial" w:cs="Times New Roman"/>
          <w:bCs/>
        </w:rPr>
        <w:tab/>
      </w:r>
      <w:r w:rsidRPr="00E816AE">
        <w:rPr>
          <w:rFonts w:ascii="Arial" w:eastAsia="Calibri" w:hAnsi="Arial" w:cs="Times New Roman"/>
          <w:bCs/>
        </w:rPr>
        <w:tab/>
      </w:r>
      <w:r w:rsidRPr="00E816AE">
        <w:rPr>
          <w:rFonts w:ascii="Arial" w:eastAsia="Calibri" w:hAnsi="Arial" w:cs="Times New Roman"/>
          <w:bCs/>
        </w:rPr>
        <w:tab/>
      </w:r>
      <w:r w:rsidRPr="00E816AE">
        <w:rPr>
          <w:rFonts w:ascii="Arial" w:eastAsia="Calibri" w:hAnsi="Arial" w:cs="Times New Roman"/>
          <w:bCs/>
        </w:rPr>
        <w:tab/>
      </w:r>
      <w:r w:rsidRPr="00E816AE">
        <w:rPr>
          <w:rFonts w:ascii="Arial" w:eastAsia="Calibri" w:hAnsi="Arial" w:cs="Times New Roman"/>
          <w:bCs/>
        </w:rPr>
        <w:tab/>
      </w:r>
      <w:r w:rsidRPr="00E816AE">
        <w:rPr>
          <w:rFonts w:ascii="Arial" w:eastAsia="Calibri" w:hAnsi="Arial" w:cs="Times New Roman"/>
          <w:bCs/>
        </w:rPr>
        <w:tab/>
      </w:r>
      <w:r w:rsidRPr="00E816AE">
        <w:rPr>
          <w:rFonts w:ascii="Arial" w:eastAsia="Calibri" w:hAnsi="Arial" w:cs="Times New Roman"/>
          <w:bCs/>
        </w:rPr>
        <w:tab/>
        <w:t xml:space="preserve">       Ort, den …</w:t>
      </w:r>
    </w:p>
    <w:p w14:paraId="581C417A"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r w:rsidRPr="00E816AE">
        <w:rPr>
          <w:rFonts w:ascii="Arial" w:eastAsia="Calibri" w:hAnsi="Arial" w:cs="Times New Roman"/>
          <w:bCs/>
        </w:rPr>
        <w:t>– im Hause –</w:t>
      </w:r>
    </w:p>
    <w:p w14:paraId="4F08BEDC"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p>
    <w:p w14:paraId="0C514182"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r w:rsidRPr="00E816AE">
        <w:rPr>
          <w:rFonts w:ascii="Arial" w:eastAsia="Calibri" w:hAnsi="Arial" w:cs="Times New Roman"/>
          <w:bCs/>
        </w:rPr>
        <w:t>An die</w:t>
      </w:r>
    </w:p>
    <w:p w14:paraId="244ABE98"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r w:rsidRPr="00E816AE">
        <w:rPr>
          <w:rFonts w:ascii="Arial" w:eastAsia="Calibri" w:hAnsi="Arial" w:cs="Times New Roman"/>
          <w:bCs/>
        </w:rPr>
        <w:t>Geschäftsführung</w:t>
      </w:r>
    </w:p>
    <w:p w14:paraId="627E80B1"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r w:rsidRPr="00E816AE">
        <w:rPr>
          <w:rFonts w:ascii="Arial" w:eastAsia="Calibri" w:hAnsi="Arial" w:cs="Times New Roman"/>
          <w:bCs/>
        </w:rPr>
        <w:t>– im Hause –</w:t>
      </w:r>
    </w:p>
    <w:p w14:paraId="2A1BFE56"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p>
    <w:p w14:paraId="01E6CF15"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
          <w:bCs/>
        </w:rPr>
      </w:pPr>
      <w:r w:rsidRPr="00E816AE">
        <w:rPr>
          <w:rFonts w:ascii="Arial" w:eastAsia="Calibri" w:hAnsi="Arial" w:cs="Times New Roman"/>
          <w:b/>
          <w:bCs/>
        </w:rPr>
        <w:t>Einsichtnahme in Gehaltslisten</w:t>
      </w:r>
    </w:p>
    <w:p w14:paraId="0EA2FE05"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
          <w:bCs/>
        </w:rPr>
      </w:pPr>
      <w:r w:rsidRPr="00E816AE">
        <w:rPr>
          <w:rFonts w:ascii="Arial" w:eastAsia="Calibri" w:hAnsi="Arial" w:cs="Times New Roman"/>
          <w:b/>
          <w:bCs/>
        </w:rPr>
        <w:t>Unser Einsichtsrecht nach § 80 Abs. 2 BetrVG</w:t>
      </w:r>
    </w:p>
    <w:p w14:paraId="1DF7D1CC"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p>
    <w:p w14:paraId="567A224E"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rPr>
      </w:pPr>
      <w:r w:rsidRPr="00E816AE">
        <w:rPr>
          <w:rFonts w:ascii="Arial" w:eastAsia="Calibri" w:hAnsi="Arial" w:cs="Times New Roman"/>
        </w:rPr>
        <w:t>Sehr geehrte Damen und Herren,</w:t>
      </w:r>
    </w:p>
    <w:p w14:paraId="2682E0CE"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rPr>
      </w:pPr>
    </w:p>
    <w:p w14:paraId="05F709D8"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r w:rsidRPr="00E816AE">
        <w:rPr>
          <w:rFonts w:ascii="Arial" w:eastAsia="Calibri" w:hAnsi="Arial" w:cs="Times New Roman"/>
          <w:bCs/>
        </w:rPr>
        <w:t>nach § 80 Abs. 2 Satz 2 zweiter Halbsatz BetrVG haben wir das Recht, in die Bruttolohn- und -gehaltslisten Einblick zu nehmen. Die Einsichtnahme in die Gehaltslisten ist notwendig, damit der Betriebsrat die ihm gesetzlich übertragenen Aufgaben ordnungsgemäß wahrnehmen kann. Zu den gesetzlichen Aufgaben des Betriebsrats gehört unter anderem die Überwachung der Einhaltung des Gleichbehandlungsgrundsatzes (vgl. § 75 Abs. 1 BetrVG). Aus diesem Grund benötigt der Betriebsrat Informationen über die gezahlten Bruttogehälter.</w:t>
      </w:r>
    </w:p>
    <w:p w14:paraId="71415020"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p>
    <w:p w14:paraId="71ABBF5A"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bCs/>
        </w:rPr>
      </w:pPr>
      <w:r w:rsidRPr="00E816AE">
        <w:rPr>
          <w:rFonts w:ascii="Arial" w:eastAsia="Calibri" w:hAnsi="Arial" w:cs="Times New Roman"/>
          <w:bCs/>
        </w:rPr>
        <w:t>Wir fordern Sie auf,</w:t>
      </w:r>
    </w:p>
    <w:p w14:paraId="64D8D6E8" w14:textId="77777777" w:rsidR="00E816AE" w:rsidRPr="00E816AE" w:rsidRDefault="00E816AE" w:rsidP="00E816AE">
      <w:pPr>
        <w:widowControl w:val="0"/>
        <w:numPr>
          <w:ilvl w:val="0"/>
          <w:numId w:val="14"/>
        </w:numPr>
        <w:tabs>
          <w:tab w:val="left" w:pos="425"/>
          <w:tab w:val="left" w:pos="851"/>
        </w:tabs>
        <w:autoSpaceDE w:val="0"/>
        <w:autoSpaceDN w:val="0"/>
        <w:adjustRightInd w:val="0"/>
        <w:spacing w:before="60" w:after="60" w:line="280" w:lineRule="exact"/>
        <w:ind w:left="425" w:hanging="425"/>
        <w:rPr>
          <w:rFonts w:ascii="Arial" w:eastAsia="Calibri" w:hAnsi="Arial" w:cs="Times New Roman"/>
        </w:rPr>
      </w:pPr>
      <w:r w:rsidRPr="00E816AE">
        <w:rPr>
          <w:rFonts w:ascii="Arial" w:eastAsia="Calibri" w:hAnsi="Arial" w:cs="Times New Roman"/>
        </w:rPr>
        <w:t>die vollständigen Listen über die Bruttovergütung aller Arbeitnehmer, inklusive außertariflicher Zulagen, jedoch ohne die gesetzlichen Abzüge, zur Einsichtnahme zur Verfügung zu stellen,</w:t>
      </w:r>
    </w:p>
    <w:p w14:paraId="6DB95BD1" w14:textId="77777777" w:rsidR="00E816AE" w:rsidRPr="00E816AE" w:rsidRDefault="00E816AE" w:rsidP="00E816AE">
      <w:pPr>
        <w:widowControl w:val="0"/>
        <w:numPr>
          <w:ilvl w:val="0"/>
          <w:numId w:val="14"/>
        </w:numPr>
        <w:tabs>
          <w:tab w:val="left" w:pos="425"/>
          <w:tab w:val="left" w:pos="851"/>
        </w:tabs>
        <w:autoSpaceDE w:val="0"/>
        <w:autoSpaceDN w:val="0"/>
        <w:adjustRightInd w:val="0"/>
        <w:spacing w:before="60" w:after="60" w:line="280" w:lineRule="exact"/>
        <w:ind w:left="425" w:hanging="425"/>
        <w:rPr>
          <w:rFonts w:ascii="Arial" w:eastAsia="Calibri" w:hAnsi="Arial" w:cs="Times New Roman"/>
        </w:rPr>
      </w:pPr>
      <w:r w:rsidRPr="00E816AE">
        <w:rPr>
          <w:rFonts w:ascii="Arial" w:eastAsia="Calibri" w:hAnsi="Arial" w:cs="Times New Roman"/>
        </w:rPr>
        <w:t>sicherzustellen, dass bei der Einsichtnahme keine Überwachung des Betriebsrats stattfindet und</w:t>
      </w:r>
    </w:p>
    <w:p w14:paraId="7B046373" w14:textId="77777777" w:rsidR="00E816AE" w:rsidRPr="00E816AE" w:rsidRDefault="00E816AE" w:rsidP="00E816AE">
      <w:pPr>
        <w:widowControl w:val="0"/>
        <w:numPr>
          <w:ilvl w:val="0"/>
          <w:numId w:val="14"/>
        </w:numPr>
        <w:tabs>
          <w:tab w:val="left" w:pos="425"/>
          <w:tab w:val="left" w:pos="851"/>
        </w:tabs>
        <w:autoSpaceDE w:val="0"/>
        <w:autoSpaceDN w:val="0"/>
        <w:adjustRightInd w:val="0"/>
        <w:spacing w:before="60" w:after="60" w:line="280" w:lineRule="exact"/>
        <w:ind w:left="425" w:hanging="425"/>
        <w:rPr>
          <w:rFonts w:ascii="Arial" w:eastAsia="Calibri" w:hAnsi="Arial" w:cs="Times New Roman"/>
        </w:rPr>
      </w:pPr>
      <w:r w:rsidRPr="00E816AE">
        <w:rPr>
          <w:rFonts w:ascii="Arial" w:eastAsia="Calibri" w:hAnsi="Arial" w:cs="Times New Roman"/>
        </w:rPr>
        <w:t>die Einsichtnahme bis spätestens … zu ermöglichen.</w:t>
      </w:r>
    </w:p>
    <w:p w14:paraId="72681CCC"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rPr>
      </w:pPr>
    </w:p>
    <w:p w14:paraId="1F25BF37"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rPr>
      </w:pPr>
      <w:r w:rsidRPr="00E816AE">
        <w:rPr>
          <w:rFonts w:ascii="Arial" w:eastAsia="Calibri" w:hAnsi="Arial" w:cs="Times New Roman"/>
        </w:rPr>
        <w:t>Teilen Sie uns bis zum … mit, in welchem Raum die Einsichtnahme erfolgen kann.</w:t>
      </w:r>
    </w:p>
    <w:p w14:paraId="60F7E03E" w14:textId="77777777" w:rsidR="00E816AE" w:rsidRPr="00E816AE" w:rsidRDefault="00E816AE" w:rsidP="00E816AE">
      <w:pPr>
        <w:widowControl w:val="0"/>
        <w:tabs>
          <w:tab w:val="left" w:pos="425"/>
          <w:tab w:val="left" w:pos="851"/>
        </w:tabs>
        <w:autoSpaceDE w:val="0"/>
        <w:autoSpaceDN w:val="0"/>
        <w:adjustRightInd w:val="0"/>
        <w:spacing w:before="60" w:after="60" w:line="280" w:lineRule="exact"/>
        <w:rPr>
          <w:rFonts w:ascii="Arial" w:eastAsia="Calibri" w:hAnsi="Arial" w:cs="Times New Roman"/>
        </w:rPr>
      </w:pPr>
      <w:r w:rsidRPr="00E816AE">
        <w:rPr>
          <w:rFonts w:ascii="Arial" w:eastAsia="Calibri" w:hAnsi="Arial" w:cs="Times New Roman"/>
        </w:rPr>
        <w:t>Mit freundlichen Grüßen</w:t>
      </w:r>
    </w:p>
    <w:p w14:paraId="028D46A5" w14:textId="77777777" w:rsidR="00E816AE" w:rsidRPr="00E816AE" w:rsidRDefault="00E816AE" w:rsidP="00E816AE">
      <w:pPr>
        <w:tabs>
          <w:tab w:val="left" w:pos="425"/>
          <w:tab w:val="left" w:pos="851"/>
        </w:tabs>
        <w:spacing w:before="60" w:after="60" w:line="280" w:lineRule="exact"/>
        <w:rPr>
          <w:rFonts w:ascii="Arial" w:eastAsia="Calibri" w:hAnsi="Arial" w:cs="Arial"/>
        </w:rPr>
      </w:pPr>
    </w:p>
    <w:p w14:paraId="00DBDF51" w14:textId="77777777" w:rsidR="00E816AE" w:rsidRPr="00E816AE" w:rsidRDefault="00E816AE" w:rsidP="00E816AE">
      <w:pPr>
        <w:tabs>
          <w:tab w:val="left" w:pos="425"/>
          <w:tab w:val="left" w:pos="851"/>
        </w:tabs>
        <w:spacing w:before="60" w:after="60" w:line="280" w:lineRule="exact"/>
        <w:rPr>
          <w:rFonts w:ascii="Arial" w:eastAsia="Calibri" w:hAnsi="Arial" w:cs="Arial"/>
        </w:rPr>
      </w:pPr>
      <w:r w:rsidRPr="00E816AE">
        <w:rPr>
          <w:rFonts w:ascii="Arial" w:eastAsia="Calibri" w:hAnsi="Arial" w:cs="Arial"/>
        </w:rPr>
        <w:t>..................................................</w:t>
      </w:r>
    </w:p>
    <w:p w14:paraId="0E12E2D3" w14:textId="77777777" w:rsidR="00E816AE" w:rsidRPr="00E816AE" w:rsidRDefault="00E816AE" w:rsidP="00E816AE">
      <w:pPr>
        <w:tabs>
          <w:tab w:val="left" w:pos="425"/>
          <w:tab w:val="left" w:pos="851"/>
        </w:tabs>
        <w:spacing w:before="60" w:after="60" w:line="280" w:lineRule="exact"/>
        <w:rPr>
          <w:rFonts w:ascii="Arial" w:eastAsia="Calibri" w:hAnsi="Arial" w:cs="Times New Roman"/>
        </w:rPr>
      </w:pPr>
      <w:r w:rsidRPr="00E816AE">
        <w:rPr>
          <w:rFonts w:ascii="Arial" w:eastAsia="Calibri" w:hAnsi="Arial" w:cs="Times New Roman"/>
        </w:rPr>
        <w:t>Der Betriebsratsvorsitzende</w:t>
      </w:r>
    </w:p>
    <w:sectPr w:rsidR="00E816AE" w:rsidRPr="00E816AE"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5BE7" w14:textId="77777777" w:rsidR="00047216" w:rsidRDefault="00047216" w:rsidP="00645C6A">
      <w:pPr>
        <w:spacing w:after="0" w:line="240" w:lineRule="auto"/>
      </w:pPr>
      <w:r>
        <w:separator/>
      </w:r>
    </w:p>
  </w:endnote>
  <w:endnote w:type="continuationSeparator" w:id="0">
    <w:p w14:paraId="3D47B15B" w14:textId="77777777" w:rsidR="00047216" w:rsidRDefault="00047216"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0E604B56"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E816AE">
      <w:rPr>
        <w:sz w:val="16"/>
        <w:szCs w:val="16"/>
      </w:rPr>
      <w:t>Oktober 2023</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7BCD" w14:textId="77777777" w:rsidR="00047216" w:rsidRDefault="00047216" w:rsidP="00645C6A">
      <w:pPr>
        <w:spacing w:after="0" w:line="240" w:lineRule="auto"/>
      </w:pPr>
      <w:r>
        <w:separator/>
      </w:r>
    </w:p>
  </w:footnote>
  <w:footnote w:type="continuationSeparator" w:id="0">
    <w:p w14:paraId="254ECD4A" w14:textId="77777777" w:rsidR="00047216" w:rsidRDefault="00047216"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3D2F712D"/>
    <w:multiLevelType w:val="hybridMultilevel"/>
    <w:tmpl w:val="2A846A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1"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3"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791435197">
    <w:abstractNumId w:val="13"/>
  </w:num>
  <w:num w:numId="2" w16cid:durableId="821895014">
    <w:abstractNumId w:val="0"/>
  </w:num>
  <w:num w:numId="3" w16cid:durableId="1144665504">
    <w:abstractNumId w:val="9"/>
  </w:num>
  <w:num w:numId="4" w16cid:durableId="1199051838">
    <w:abstractNumId w:val="8"/>
  </w:num>
  <w:num w:numId="5" w16cid:durableId="1712656634">
    <w:abstractNumId w:val="1"/>
  </w:num>
  <w:num w:numId="6" w16cid:durableId="374891120">
    <w:abstractNumId w:val="12"/>
  </w:num>
  <w:num w:numId="7" w16cid:durableId="12731288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7480353">
    <w:abstractNumId w:val="4"/>
  </w:num>
  <w:num w:numId="9" w16cid:durableId="1319723110">
    <w:abstractNumId w:val="2"/>
  </w:num>
  <w:num w:numId="10" w16cid:durableId="2091341382">
    <w:abstractNumId w:val="6"/>
  </w:num>
  <w:num w:numId="11" w16cid:durableId="466171569">
    <w:abstractNumId w:val="11"/>
  </w:num>
  <w:num w:numId="12" w16cid:durableId="440803159">
    <w:abstractNumId w:val="10"/>
  </w:num>
  <w:num w:numId="13" w16cid:durableId="1670448336">
    <w:abstractNumId w:val="5"/>
  </w:num>
  <w:num w:numId="14" w16cid:durableId="533545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47216"/>
    <w:rsid w:val="00051EEE"/>
    <w:rsid w:val="000555AD"/>
    <w:rsid w:val="00056EC0"/>
    <w:rsid w:val="00097E64"/>
    <w:rsid w:val="000C1235"/>
    <w:rsid w:val="000F3088"/>
    <w:rsid w:val="00105AD1"/>
    <w:rsid w:val="0012313C"/>
    <w:rsid w:val="00154639"/>
    <w:rsid w:val="00267D40"/>
    <w:rsid w:val="002D5DD1"/>
    <w:rsid w:val="00302443"/>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3E73"/>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816AE"/>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2</cp:revision>
  <dcterms:created xsi:type="dcterms:W3CDTF">2023-08-13T10:06:00Z</dcterms:created>
  <dcterms:modified xsi:type="dcterms:W3CDTF">2023-08-13T10:06:00Z</dcterms:modified>
</cp:coreProperties>
</file>