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FCCF" w14:textId="77777777" w:rsidR="00097E64" w:rsidRDefault="00097E64" w:rsidP="00097E64">
      <w:pPr>
        <w:rPr>
          <w:color w:val="FF0000"/>
        </w:rPr>
      </w:pPr>
    </w:p>
    <w:p w14:paraId="12427E1E" w14:textId="03870862" w:rsidR="007D2240" w:rsidRDefault="007D2240" w:rsidP="007D2240">
      <w:pPr>
        <w:spacing w:beforeLines="30" w:before="72" w:afterLines="30" w:after="72" w:line="280" w:lineRule="exact"/>
        <w:jc w:val="center"/>
        <w:rPr>
          <w:rFonts w:ascii="Arial" w:hAnsi="Arial" w:cs="Arial"/>
          <w:b/>
          <w:sz w:val="28"/>
          <w:szCs w:val="28"/>
        </w:rPr>
      </w:pPr>
      <w:r>
        <w:rPr>
          <w:rFonts w:ascii="Arial" w:hAnsi="Arial" w:cs="Arial"/>
          <w:b/>
          <w:sz w:val="28"/>
          <w:szCs w:val="28"/>
        </w:rPr>
        <w:t>Interessenausgleich</w:t>
      </w:r>
      <w:r>
        <w:rPr>
          <w:rFonts w:ascii="Arial" w:hAnsi="Arial" w:cs="Arial"/>
          <w:b/>
          <w:sz w:val="28"/>
          <w:szCs w:val="28"/>
        </w:rPr>
        <w:t xml:space="preserve">: Eckpunkte einer Betriebsvereinbarung </w:t>
      </w:r>
    </w:p>
    <w:p w14:paraId="1BECFF45" w14:textId="77777777" w:rsidR="007D2240" w:rsidRDefault="007D2240" w:rsidP="007D2240">
      <w:pPr>
        <w:spacing w:beforeLines="30" w:before="72" w:afterLines="30" w:after="72" w:line="280" w:lineRule="exact"/>
        <w:jc w:val="center"/>
        <w:rPr>
          <w:rFonts w:ascii="Arial" w:hAnsi="Arial" w:cs="Arial"/>
          <w:b/>
          <w:sz w:val="28"/>
          <w:szCs w:val="28"/>
        </w:rPr>
      </w:pPr>
    </w:p>
    <w:p w14:paraId="6E09C0A5" w14:textId="77777777" w:rsidR="007D2240" w:rsidRDefault="007D2240" w:rsidP="007D2240">
      <w:pPr>
        <w:spacing w:beforeLines="30" w:before="72" w:afterLines="30" w:after="72" w:line="280" w:lineRule="exact"/>
        <w:jc w:val="center"/>
        <w:rPr>
          <w:rFonts w:ascii="Arial" w:hAnsi="Arial" w:cs="Arial"/>
          <w:b/>
          <w:sz w:val="24"/>
          <w:szCs w:val="24"/>
        </w:rPr>
      </w:pPr>
    </w:p>
    <w:p w14:paraId="07307E32" w14:textId="77777777" w:rsidR="007D2240" w:rsidRDefault="007D2240" w:rsidP="007D2240">
      <w:pPr>
        <w:spacing w:beforeLines="30" w:before="72" w:afterLines="30" w:after="72" w:line="280" w:lineRule="exact"/>
        <w:rPr>
          <w:rFonts w:ascii="Arial" w:hAnsi="Arial" w:cs="Arial"/>
          <w:b/>
          <w:sz w:val="24"/>
          <w:szCs w:val="24"/>
        </w:rPr>
      </w:pPr>
      <w:r>
        <w:rPr>
          <w:rFonts w:ascii="Arial" w:hAnsi="Arial" w:cs="Arial"/>
          <w:b/>
          <w:sz w:val="24"/>
          <w:szCs w:val="24"/>
        </w:rPr>
        <w:t>Interessenausgleich</w:t>
      </w:r>
    </w:p>
    <w:p w14:paraId="6A65E834" w14:textId="77777777" w:rsidR="007D2240" w:rsidRDefault="007D2240" w:rsidP="007D2240">
      <w:pPr>
        <w:spacing w:before="60" w:after="60" w:line="280" w:lineRule="exact"/>
        <w:rPr>
          <w:rFonts w:ascii="Arial" w:hAnsi="Arial" w:cs="Arial"/>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654"/>
        <w:gridCol w:w="1323"/>
      </w:tblGrid>
      <w:tr w:rsidR="007D2240" w14:paraId="3866A809" w14:textId="77777777" w:rsidTr="007D2240">
        <w:tc>
          <w:tcPr>
            <w:tcW w:w="8046"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6289FAE4" w14:textId="77777777" w:rsidR="007D2240" w:rsidRDefault="007D2240">
            <w:pPr>
              <w:spacing w:before="60" w:after="60" w:line="280" w:lineRule="exact"/>
              <w:rPr>
                <w:rFonts w:ascii="Arial" w:hAnsi="Arial" w:cs="Arial"/>
                <w:b/>
                <w:szCs w:val="20"/>
              </w:rPr>
            </w:pPr>
            <w:r>
              <w:rPr>
                <w:rFonts w:ascii="Arial" w:hAnsi="Arial" w:cs="Arial"/>
                <w:b/>
              </w:rPr>
              <w:t>Voraussetzungen</w:t>
            </w:r>
          </w:p>
        </w:tc>
        <w:tc>
          <w:tcPr>
            <w:tcW w:w="1394"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626ADB29" w14:textId="77777777" w:rsidR="007D2240" w:rsidRDefault="007D2240">
            <w:pPr>
              <w:spacing w:beforeLines="30" w:before="72" w:afterLines="30" w:after="72" w:line="280" w:lineRule="exact"/>
              <w:jc w:val="center"/>
              <w:rPr>
                <w:rFonts w:ascii="Arial" w:hAnsi="Arial" w:cs="Arial"/>
                <w:b/>
              </w:rPr>
            </w:pPr>
            <w:r>
              <w:rPr>
                <w:rFonts w:ascii="Arial" w:hAnsi="Arial" w:cs="Arial"/>
                <w:b/>
              </w:rPr>
              <w:t>ok</w:t>
            </w:r>
          </w:p>
        </w:tc>
      </w:tr>
      <w:tr w:rsidR="007D2240" w14:paraId="367ED772" w14:textId="77777777" w:rsidTr="007D2240">
        <w:tc>
          <w:tcPr>
            <w:tcW w:w="804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55492993" w14:textId="77777777" w:rsidR="007D2240" w:rsidRDefault="007D2240">
            <w:pPr>
              <w:pStyle w:val="TabelleTextblocklinksoben"/>
            </w:pPr>
            <w:r>
              <w:t>Der Interessenausgleich sollte so detailliert wie nur möglich den exakten Ablauf der Betriebsänderung beschreiben.</w:t>
            </w:r>
          </w:p>
        </w:tc>
        <w:tc>
          <w:tcPr>
            <w:tcW w:w="139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72CCD11A" w14:textId="77777777" w:rsidR="007D2240" w:rsidRDefault="007D2240">
            <w:pPr>
              <w:spacing w:beforeLines="30" w:before="72" w:afterLines="30" w:after="72" w:line="280" w:lineRule="exact"/>
              <w:ind w:left="459" w:hanging="459"/>
              <w:jc w:val="center"/>
              <w:rPr>
                <w:rFonts w:ascii="Arial" w:hAnsi="Arial" w:cs="Arial"/>
              </w:rPr>
            </w:pPr>
            <w:r>
              <w:rPr>
                <w:rFonts w:ascii="Arial" w:hAnsi="Arial" w:cs="Arial"/>
              </w:rPr>
              <w:fldChar w:fldCharType="begin">
                <w:ffData>
                  <w:name w:val="Kontrollkästchen2"/>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7D2240" w14:paraId="23657FB6" w14:textId="77777777" w:rsidTr="007D2240">
        <w:tc>
          <w:tcPr>
            <w:tcW w:w="804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3B1BF3C6" w14:textId="77777777" w:rsidR="007D2240" w:rsidRDefault="007D2240">
            <w:pPr>
              <w:pStyle w:val="TabelleTextblocklinksoben"/>
            </w:pPr>
            <w:r>
              <w:t>Halten Sie sich bei der Formulierung des Interessenausgleichs an die fünf großen „</w:t>
            </w:r>
            <w:r>
              <w:rPr>
                <w:rStyle w:val="Fett"/>
              </w:rPr>
              <w:t>W</w:t>
            </w:r>
            <w:r>
              <w:t xml:space="preserve">“: </w:t>
            </w:r>
            <w:r>
              <w:rPr>
                <w:rStyle w:val="Fett"/>
              </w:rPr>
              <w:t>W</w:t>
            </w:r>
            <w:r>
              <w:t xml:space="preserve">er macht </w:t>
            </w:r>
            <w:r>
              <w:rPr>
                <w:rStyle w:val="Fett"/>
              </w:rPr>
              <w:t>w</w:t>
            </w:r>
            <w:r>
              <w:t xml:space="preserve">as, </w:t>
            </w:r>
            <w:r>
              <w:rPr>
                <w:rStyle w:val="Fett"/>
              </w:rPr>
              <w:t>w</w:t>
            </w:r>
            <w:r>
              <w:t xml:space="preserve">ann, </w:t>
            </w:r>
            <w:r>
              <w:rPr>
                <w:rStyle w:val="Fett"/>
              </w:rPr>
              <w:t>w</w:t>
            </w:r>
            <w:r>
              <w:t xml:space="preserve">o und </w:t>
            </w:r>
            <w:r>
              <w:rPr>
                <w:rStyle w:val="Fett"/>
              </w:rPr>
              <w:t>w</w:t>
            </w:r>
            <w:r>
              <w:t>ie?</w:t>
            </w:r>
          </w:p>
        </w:tc>
        <w:tc>
          <w:tcPr>
            <w:tcW w:w="139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3A63D815" w14:textId="77777777" w:rsidR="007D2240" w:rsidRDefault="007D2240">
            <w:pPr>
              <w:spacing w:beforeLines="30" w:before="72" w:afterLines="30" w:after="72" w:line="280" w:lineRule="exact"/>
              <w:ind w:left="459" w:hanging="459"/>
              <w:jc w:val="center"/>
              <w:rPr>
                <w:rFonts w:ascii="Arial" w:hAnsi="Arial" w:cs="Arial"/>
              </w:rPr>
            </w:pPr>
            <w:r>
              <w:rPr>
                <w:rFonts w:ascii="Arial" w:hAnsi="Arial" w:cs="Arial"/>
              </w:rPr>
              <w:fldChar w:fldCharType="begin">
                <w:ffData>
                  <w:name w:val="Kontrollkästchen2"/>
                  <w:enabled/>
                  <w:calcOnExit w:val="0"/>
                  <w:checkBox>
                    <w:sizeAuto/>
                    <w:default w:val="0"/>
                    <w:checked w:val="0"/>
                  </w:checkBox>
                </w:ffData>
              </w:fldChar>
            </w:r>
            <w:bookmarkStart w:id="0" w:name="Kontrollkästchen2"/>
            <w:r>
              <w:rPr>
                <w:rFonts w:ascii="Arial" w:hAnsi="Arial" w:cs="Arial"/>
              </w:rPr>
              <w:instrText xml:space="preserve"> FORMCHECKBOX </w:instrText>
            </w:r>
            <w:r>
              <w:rPr>
                <w:rFonts w:ascii="Arial" w:hAnsi="Arial" w:cs="Arial"/>
              </w:rPr>
            </w:r>
            <w:r>
              <w:rPr>
                <w:rFonts w:ascii="Arial" w:hAnsi="Arial" w:cs="Arial"/>
              </w:rPr>
              <w:fldChar w:fldCharType="separate"/>
            </w:r>
            <w:r>
              <w:rPr>
                <w:rFonts w:ascii="Times New Roman" w:hAnsi="Times New Roman" w:cs="Times New Roman"/>
              </w:rPr>
              <w:fldChar w:fldCharType="end"/>
            </w:r>
            <w:bookmarkEnd w:id="0"/>
          </w:p>
        </w:tc>
      </w:tr>
      <w:tr w:rsidR="007D2240" w14:paraId="4F30C73F" w14:textId="77777777" w:rsidTr="007D2240">
        <w:tc>
          <w:tcPr>
            <w:tcW w:w="804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07E13A0B" w14:textId="77777777" w:rsidR="007D2240" w:rsidRDefault="007D2240">
            <w:pPr>
              <w:pStyle w:val="TabelleTextblocklinksoben"/>
            </w:pPr>
            <w:r>
              <w:t>Festlegung, wann Kündigungen frühestens ausgesprochen werden können und zu welchem Beendigungsdatum.</w:t>
            </w:r>
          </w:p>
        </w:tc>
        <w:tc>
          <w:tcPr>
            <w:tcW w:w="139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667C7210" w14:textId="77777777" w:rsidR="007D2240" w:rsidRDefault="007D2240">
            <w:pPr>
              <w:spacing w:beforeLines="30" w:before="72" w:afterLines="30" w:after="72" w:line="280" w:lineRule="exact"/>
              <w:ind w:left="459" w:hanging="459"/>
              <w:jc w:val="center"/>
              <w:rPr>
                <w:rFonts w:ascii="Arial" w:hAnsi="Arial" w:cs="Arial"/>
              </w:rPr>
            </w:pPr>
            <w:r>
              <w:rPr>
                <w:rFonts w:ascii="Arial" w:hAnsi="Arial" w:cs="Arial"/>
              </w:rPr>
              <w:fldChar w:fldCharType="begin">
                <w:ffData>
                  <w:name w:val="Kontrollkästchen2"/>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7D2240" w14:paraId="260FC3F5" w14:textId="77777777" w:rsidTr="007D2240">
        <w:tc>
          <w:tcPr>
            <w:tcW w:w="804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1D58AA42" w14:textId="77777777" w:rsidR="007D2240" w:rsidRDefault="007D2240">
            <w:pPr>
              <w:pStyle w:val="TabelleTextblocklinksoben"/>
            </w:pPr>
            <w:r>
              <w:rPr>
                <w:rStyle w:val="Fett"/>
              </w:rPr>
              <w:t xml:space="preserve">Namensliste </w:t>
            </w:r>
            <w:r>
              <w:t xml:space="preserve">zu kündigender Arbeitnehmer </w:t>
            </w:r>
            <w:r>
              <w:br/>
            </w:r>
            <w:r>
              <w:rPr>
                <w:rStyle w:val="Fett"/>
              </w:rPr>
              <w:t>Achtung:</w:t>
            </w:r>
            <w:r>
              <w:t xml:space="preserve"> Lässt sich der Betriebsrat darauf ein, eine Liste der zu kündigenden Arbeitnehmer in den Interessenausgleich aufzunehmen, so muss dem Betriebsrat klar sein, dass die dort verzeichneten Arbeitnehmer in einem Kündigungsschutzprozess kaum noch eine Möglichkeit haben, sich gegen die Kündigung zu verteidigen, da eine namentliche Nennung des Arbeitnehmers in einer solchen Namensliste in einem Interessenausgleich die Vermutung der Richtigkeit der Sozialauswahl beinhaltet, die der Arbeitnehmer nur bei dem Nachweis grober Fehlerhaftigkeit widerlegen kann.</w:t>
            </w:r>
          </w:p>
        </w:tc>
        <w:tc>
          <w:tcPr>
            <w:tcW w:w="139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6D886ECE" w14:textId="77777777" w:rsidR="007D2240" w:rsidRDefault="007D2240">
            <w:pPr>
              <w:spacing w:beforeLines="30" w:before="72" w:afterLines="30" w:after="72" w:line="280" w:lineRule="exact"/>
              <w:ind w:left="459" w:hanging="459"/>
              <w:jc w:val="center"/>
              <w:rPr>
                <w:rFonts w:ascii="Arial" w:hAnsi="Arial" w:cs="Arial"/>
              </w:rPr>
            </w:pPr>
            <w:r>
              <w:rPr>
                <w:rFonts w:ascii="Arial" w:hAnsi="Arial" w:cs="Arial"/>
              </w:rPr>
              <w:fldChar w:fldCharType="begin">
                <w:ffData>
                  <w:name w:val="Kontrollkästchen2"/>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45DD4FDE" w14:textId="77777777" w:rsidR="007D2240" w:rsidRDefault="007D2240" w:rsidP="007D2240">
      <w:pPr>
        <w:spacing w:before="60" w:after="60" w:line="280" w:lineRule="exact"/>
        <w:rPr>
          <w:rFonts w:ascii="Arial" w:eastAsia="Times New Roman" w:hAnsi="Arial" w:cs="Arial"/>
        </w:rPr>
      </w:pPr>
    </w:p>
    <w:p w14:paraId="564DC486" w14:textId="77777777" w:rsidR="007D2240" w:rsidRDefault="007D2240" w:rsidP="007D2240">
      <w:pPr>
        <w:spacing w:before="60" w:after="60" w:line="280" w:lineRule="exact"/>
        <w:rPr>
          <w:rFonts w:ascii="Arial" w:hAnsi="Arial" w:cs="Arial"/>
        </w:rPr>
      </w:pPr>
    </w:p>
    <w:sectPr w:rsidR="007D2240"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5F2C" w14:textId="77777777" w:rsidR="00010C4B" w:rsidRDefault="00010C4B" w:rsidP="00645C6A">
      <w:pPr>
        <w:spacing w:after="0" w:line="240" w:lineRule="auto"/>
      </w:pPr>
      <w:r>
        <w:separator/>
      </w:r>
    </w:p>
  </w:endnote>
  <w:endnote w:type="continuationSeparator" w:id="0">
    <w:p w14:paraId="264FA48D" w14:textId="77777777" w:rsidR="00010C4B" w:rsidRDefault="00010C4B"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22B4" w14:textId="76F3D5E7"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7D2240">
      <w:rPr>
        <w:sz w:val="16"/>
        <w:szCs w:val="16"/>
      </w:rPr>
      <w:t>Januar 2024</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6DBF" w14:textId="77777777" w:rsidR="00010C4B" w:rsidRDefault="00010C4B" w:rsidP="00645C6A">
      <w:pPr>
        <w:spacing w:after="0" w:line="240" w:lineRule="auto"/>
      </w:pPr>
      <w:r>
        <w:separator/>
      </w:r>
    </w:p>
  </w:footnote>
  <w:footnote w:type="continuationSeparator" w:id="0">
    <w:p w14:paraId="69AD9165" w14:textId="77777777" w:rsidR="00010C4B" w:rsidRDefault="00010C4B"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6A1E2C"/>
    <w:multiLevelType w:val="hybridMultilevel"/>
    <w:tmpl w:val="476A2624"/>
    <w:lvl w:ilvl="0" w:tplc="3808F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7"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B9E66C1"/>
    <w:multiLevelType w:val="singleLevel"/>
    <w:tmpl w:val="7C6A5C90"/>
    <w:lvl w:ilvl="0">
      <w:start w:val="1"/>
      <w:numFmt w:val="lowerLetter"/>
      <w:lvlText w:val="%1)"/>
      <w:lvlJc w:val="left"/>
      <w:pPr>
        <w:tabs>
          <w:tab w:val="num" w:pos="1848"/>
        </w:tabs>
        <w:ind w:left="2206" w:hanging="358"/>
      </w:pPr>
      <w:rPr>
        <w:rFonts w:ascii="Arial" w:hAnsi="Arial" w:cs="Arial"/>
        <w:b w:val="0"/>
        <w:i w:val="0"/>
        <w:color w:val="000000"/>
        <w:position w:val="0"/>
        <w:sz w:val="22"/>
        <w:u w:val="none"/>
      </w:rPr>
    </w:lvl>
  </w:abstractNum>
  <w:abstractNum w:abstractNumId="10"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2"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34891736">
    <w:abstractNumId w:val="12"/>
  </w:num>
  <w:num w:numId="2" w16cid:durableId="393941215">
    <w:abstractNumId w:val="0"/>
  </w:num>
  <w:num w:numId="3" w16cid:durableId="1964920454">
    <w:abstractNumId w:val="8"/>
  </w:num>
  <w:num w:numId="4" w16cid:durableId="1633754759">
    <w:abstractNumId w:val="7"/>
  </w:num>
  <w:num w:numId="5" w16cid:durableId="1797064528">
    <w:abstractNumId w:val="1"/>
  </w:num>
  <w:num w:numId="6" w16cid:durableId="186793618">
    <w:abstractNumId w:val="11"/>
  </w:num>
  <w:num w:numId="7" w16cid:durableId="8658666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61380">
    <w:abstractNumId w:val="4"/>
  </w:num>
  <w:num w:numId="9" w16cid:durableId="1253512256">
    <w:abstractNumId w:val="2"/>
  </w:num>
  <w:num w:numId="10" w16cid:durableId="1397969809">
    <w:abstractNumId w:val="6"/>
  </w:num>
  <w:num w:numId="11" w16cid:durableId="651178946">
    <w:abstractNumId w:val="10"/>
  </w:num>
  <w:num w:numId="12" w16cid:durableId="594443359">
    <w:abstractNumId w:val="9"/>
  </w:num>
  <w:num w:numId="13" w16cid:durableId="1083187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10C4B"/>
    <w:rsid w:val="00030FF3"/>
    <w:rsid w:val="00046A0C"/>
    <w:rsid w:val="00051EEE"/>
    <w:rsid w:val="000555AD"/>
    <w:rsid w:val="00056EC0"/>
    <w:rsid w:val="00097E64"/>
    <w:rsid w:val="000C1235"/>
    <w:rsid w:val="000F3088"/>
    <w:rsid w:val="00105AD1"/>
    <w:rsid w:val="0012313C"/>
    <w:rsid w:val="00154639"/>
    <w:rsid w:val="00267D40"/>
    <w:rsid w:val="002D5DD1"/>
    <w:rsid w:val="00302443"/>
    <w:rsid w:val="004070D7"/>
    <w:rsid w:val="0043100C"/>
    <w:rsid w:val="004E4B9B"/>
    <w:rsid w:val="00530780"/>
    <w:rsid w:val="005B72E6"/>
    <w:rsid w:val="005C1193"/>
    <w:rsid w:val="005E2E83"/>
    <w:rsid w:val="0062183F"/>
    <w:rsid w:val="00621D93"/>
    <w:rsid w:val="00645C6A"/>
    <w:rsid w:val="006527DB"/>
    <w:rsid w:val="00696EB5"/>
    <w:rsid w:val="006E17BA"/>
    <w:rsid w:val="00730DBA"/>
    <w:rsid w:val="00734514"/>
    <w:rsid w:val="00747B9D"/>
    <w:rsid w:val="007B14D4"/>
    <w:rsid w:val="007C20F8"/>
    <w:rsid w:val="007D2240"/>
    <w:rsid w:val="00800A1E"/>
    <w:rsid w:val="008337B7"/>
    <w:rsid w:val="0087317C"/>
    <w:rsid w:val="00873E73"/>
    <w:rsid w:val="008757A7"/>
    <w:rsid w:val="008F1965"/>
    <w:rsid w:val="009D1ADA"/>
    <w:rsid w:val="00A175D1"/>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248271943">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970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2</cp:revision>
  <dcterms:created xsi:type="dcterms:W3CDTF">2023-10-09T07:22:00Z</dcterms:created>
  <dcterms:modified xsi:type="dcterms:W3CDTF">2023-10-09T07:22:00Z</dcterms:modified>
</cp:coreProperties>
</file>