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FCCF" w14:textId="77777777" w:rsidR="00097E64" w:rsidRDefault="00097E64" w:rsidP="00097E64">
      <w:pPr>
        <w:rPr>
          <w:color w:val="FF0000"/>
        </w:rPr>
      </w:pPr>
    </w:p>
    <w:p w14:paraId="3547A0A2" w14:textId="77777777" w:rsidR="0023549C" w:rsidRPr="008737F8" w:rsidRDefault="0023549C" w:rsidP="0023549C">
      <w:pPr>
        <w:rPr>
          <w:b/>
          <w:bCs/>
          <w:i/>
          <w:iCs/>
          <w:sz w:val="36"/>
          <w:szCs w:val="36"/>
        </w:rPr>
      </w:pPr>
      <w:r w:rsidRPr="008737F8">
        <w:rPr>
          <w:b/>
          <w:bCs/>
          <w:i/>
          <w:iCs/>
          <w:sz w:val="36"/>
          <w:szCs w:val="36"/>
        </w:rPr>
        <w:t>Rechte und Pflichten des Betriebsrats</w:t>
      </w:r>
    </w:p>
    <w:p w14:paraId="310EF3DE" w14:textId="15619DE2" w:rsidR="00374F67" w:rsidRPr="008737F8" w:rsidRDefault="00374F67" w:rsidP="00374F67">
      <w:pPr>
        <w:pStyle w:val="Listenabsatz"/>
        <w:numPr>
          <w:ilvl w:val="0"/>
          <w:numId w:val="14"/>
        </w:numPr>
        <w:rPr>
          <w:b/>
          <w:bCs/>
          <w:sz w:val="24"/>
          <w:szCs w:val="24"/>
        </w:rPr>
      </w:pPr>
      <w:r w:rsidRPr="008737F8">
        <w:rPr>
          <w:b/>
          <w:bCs/>
          <w:sz w:val="24"/>
          <w:szCs w:val="24"/>
        </w:rPr>
        <w:t>Auskunftsanspruch der Beschäftigten</w:t>
      </w:r>
    </w:p>
    <w:p w14:paraId="17EA4231" w14:textId="58E3AA73" w:rsidR="0023549C" w:rsidRPr="008737F8" w:rsidRDefault="006126D7" w:rsidP="0023549C">
      <w:pPr>
        <w:rPr>
          <w:sz w:val="24"/>
          <w:szCs w:val="24"/>
        </w:rPr>
      </w:pPr>
      <w:r w:rsidRPr="008737F8">
        <w:rPr>
          <w:sz w:val="24"/>
          <w:szCs w:val="24"/>
        </w:rPr>
        <w:t>Das E</w:t>
      </w:r>
      <w:r w:rsidR="0023549C" w:rsidRPr="008737F8">
        <w:rPr>
          <w:sz w:val="24"/>
          <w:szCs w:val="24"/>
        </w:rPr>
        <w:t>ntgelttransparenzgesetz (</w:t>
      </w:r>
      <w:proofErr w:type="spellStart"/>
      <w:r w:rsidR="0023549C" w:rsidRPr="008737F8">
        <w:rPr>
          <w:sz w:val="24"/>
          <w:szCs w:val="24"/>
        </w:rPr>
        <w:t>EntgTranspG</w:t>
      </w:r>
      <w:proofErr w:type="spellEnd"/>
      <w:r w:rsidR="0023549C" w:rsidRPr="008737F8">
        <w:rPr>
          <w:sz w:val="24"/>
          <w:szCs w:val="24"/>
        </w:rPr>
        <w:t xml:space="preserve">) </w:t>
      </w:r>
      <w:r w:rsidRPr="008737F8">
        <w:rPr>
          <w:sz w:val="24"/>
          <w:szCs w:val="24"/>
        </w:rPr>
        <w:t xml:space="preserve">regelt, dass </w:t>
      </w:r>
      <w:r w:rsidR="0023549C" w:rsidRPr="008737F8">
        <w:rPr>
          <w:sz w:val="24"/>
          <w:szCs w:val="24"/>
        </w:rPr>
        <w:t xml:space="preserve">Betriebsräte </w:t>
      </w:r>
      <w:r w:rsidRPr="008737F8">
        <w:rPr>
          <w:sz w:val="24"/>
          <w:szCs w:val="24"/>
        </w:rPr>
        <w:t xml:space="preserve">grundsätzlich </w:t>
      </w:r>
      <w:r w:rsidR="0023549C" w:rsidRPr="008737F8">
        <w:rPr>
          <w:sz w:val="24"/>
          <w:szCs w:val="24"/>
        </w:rPr>
        <w:t>verantwortlich dafür</w:t>
      </w:r>
      <w:r w:rsidRPr="008737F8">
        <w:rPr>
          <w:sz w:val="24"/>
          <w:szCs w:val="24"/>
        </w:rPr>
        <w:t xml:space="preserve"> sind</w:t>
      </w:r>
      <w:r w:rsidR="0023549C" w:rsidRPr="008737F8">
        <w:rPr>
          <w:sz w:val="24"/>
          <w:szCs w:val="24"/>
        </w:rPr>
        <w:t>, die Auskunftsersuchen</w:t>
      </w:r>
      <w:r w:rsidRPr="008737F8">
        <w:rPr>
          <w:sz w:val="24"/>
          <w:szCs w:val="24"/>
        </w:rPr>
        <w:t xml:space="preserve">der Kollegen zu </w:t>
      </w:r>
      <w:r w:rsidR="0023549C" w:rsidRPr="008737F8">
        <w:rPr>
          <w:sz w:val="24"/>
          <w:szCs w:val="24"/>
        </w:rPr>
        <w:t>erfüllen. Die Beschäftigten richten ihre Anfrage an den Betriebsrat. Er erteilt ihnen Auskunft und reicht dazu ihre Anfragen anonym an den Arbeitgeber weiter. Dieser muss dem Betriebsrat die notwendigen Unterlagen zur Verfügung stellen. Ausnahme: Er hat dem Betriebsrat erklärt, dass er dem Auskunftsverlangen seiner Beschäftigten selbst nachkommen will.</w:t>
      </w:r>
    </w:p>
    <w:p w14:paraId="47A8411D" w14:textId="2D3D20FA" w:rsidR="00374F67" w:rsidRPr="008737F8" w:rsidRDefault="00374F67" w:rsidP="00374F67">
      <w:pPr>
        <w:pStyle w:val="Listenabsatz"/>
        <w:numPr>
          <w:ilvl w:val="0"/>
          <w:numId w:val="14"/>
        </w:numPr>
        <w:rPr>
          <w:b/>
          <w:bCs/>
          <w:sz w:val="24"/>
          <w:szCs w:val="24"/>
        </w:rPr>
      </w:pPr>
      <w:r w:rsidRPr="008737F8">
        <w:rPr>
          <w:b/>
          <w:bCs/>
          <w:sz w:val="24"/>
          <w:szCs w:val="24"/>
        </w:rPr>
        <w:t>Überprüfung der Entgeltgerechtigkeit</w:t>
      </w:r>
    </w:p>
    <w:p w14:paraId="10FA1564" w14:textId="3CDEBA92" w:rsidR="0023549C" w:rsidRPr="008737F8" w:rsidRDefault="0023549C" w:rsidP="00374F67">
      <w:pPr>
        <w:rPr>
          <w:sz w:val="24"/>
          <w:szCs w:val="24"/>
        </w:rPr>
      </w:pPr>
      <w:r w:rsidRPr="008737F8">
        <w:rPr>
          <w:sz w:val="24"/>
          <w:szCs w:val="24"/>
        </w:rPr>
        <w:t>Zusammen mit dem Arbeitgeber muss der Betriebsrat die Entgeltpraxis des Unternehmens überprüfen und dem Gebot der Entgeltgleichheit gerecht werden. Dazu stehen dem Betriebsrat diverse Instrumentarien zur Verfügung, mit denen er seine Rechte und Pflichten wahrnimmt:</w:t>
      </w:r>
    </w:p>
    <w:p w14:paraId="65134AA8" w14:textId="1AAE7BE3" w:rsidR="0023549C" w:rsidRPr="008737F8" w:rsidRDefault="0023549C" w:rsidP="00374F67">
      <w:pPr>
        <w:pStyle w:val="Listenabsatz"/>
        <w:numPr>
          <w:ilvl w:val="0"/>
          <w:numId w:val="15"/>
        </w:numPr>
        <w:rPr>
          <w:sz w:val="24"/>
          <w:szCs w:val="24"/>
        </w:rPr>
      </w:pPr>
      <w:r w:rsidRPr="008737F8">
        <w:rPr>
          <w:sz w:val="24"/>
          <w:szCs w:val="24"/>
        </w:rPr>
        <w:t>Überwachung der Einhaltung von Rechtsnormen (§ 80 Abs. 1 Nr. 1 BetrVG), wie z.</w:t>
      </w:r>
      <w:r w:rsidR="00374F67" w:rsidRPr="008737F8">
        <w:rPr>
          <w:sz w:val="24"/>
          <w:szCs w:val="24"/>
        </w:rPr>
        <w:t xml:space="preserve"> </w:t>
      </w:r>
      <w:r w:rsidRPr="008737F8">
        <w:rPr>
          <w:sz w:val="24"/>
          <w:szCs w:val="24"/>
        </w:rPr>
        <w:t xml:space="preserve">B. AGG, </w:t>
      </w:r>
      <w:proofErr w:type="spellStart"/>
      <w:r w:rsidRPr="008737F8">
        <w:rPr>
          <w:sz w:val="24"/>
          <w:szCs w:val="24"/>
        </w:rPr>
        <w:t>EntgTranspG</w:t>
      </w:r>
      <w:proofErr w:type="spellEnd"/>
      <w:r w:rsidRPr="008737F8">
        <w:rPr>
          <w:sz w:val="24"/>
          <w:szCs w:val="24"/>
        </w:rPr>
        <w:t xml:space="preserve"> usw.</w:t>
      </w:r>
      <w:r w:rsidR="00374F67" w:rsidRPr="008737F8">
        <w:rPr>
          <w:sz w:val="24"/>
          <w:szCs w:val="24"/>
        </w:rPr>
        <w:t>)</w:t>
      </w:r>
    </w:p>
    <w:p w14:paraId="30240B1D" w14:textId="77777777" w:rsidR="0023549C" w:rsidRPr="008737F8" w:rsidRDefault="0023549C" w:rsidP="00374F67">
      <w:pPr>
        <w:pStyle w:val="Listenabsatz"/>
        <w:numPr>
          <w:ilvl w:val="0"/>
          <w:numId w:val="15"/>
        </w:numPr>
        <w:rPr>
          <w:sz w:val="24"/>
          <w:szCs w:val="24"/>
        </w:rPr>
      </w:pPr>
      <w:r w:rsidRPr="008737F8">
        <w:rPr>
          <w:sz w:val="24"/>
          <w:szCs w:val="24"/>
        </w:rPr>
        <w:t>Überwachung der Einhaltung des Grundsatzes der Gleichbehandlung (§ 75 BetrVG)</w:t>
      </w:r>
    </w:p>
    <w:p w14:paraId="71CB2994" w14:textId="77777777" w:rsidR="0023549C" w:rsidRPr="008737F8" w:rsidRDefault="0023549C" w:rsidP="00374F67">
      <w:pPr>
        <w:pStyle w:val="Listenabsatz"/>
        <w:numPr>
          <w:ilvl w:val="0"/>
          <w:numId w:val="15"/>
        </w:numPr>
        <w:rPr>
          <w:sz w:val="24"/>
          <w:szCs w:val="24"/>
        </w:rPr>
      </w:pPr>
      <w:r w:rsidRPr="008737F8">
        <w:rPr>
          <w:sz w:val="24"/>
          <w:szCs w:val="24"/>
        </w:rPr>
        <w:t>Förderung der Durchsetzung der tatsächlichen Gleichstellung (§ 80 Abs. 1 Nr. 2a BetrVG)</w:t>
      </w:r>
    </w:p>
    <w:p w14:paraId="1A070F00" w14:textId="77777777" w:rsidR="0023549C" w:rsidRPr="008737F8" w:rsidRDefault="0023549C" w:rsidP="00374F67">
      <w:pPr>
        <w:pStyle w:val="Listenabsatz"/>
        <w:numPr>
          <w:ilvl w:val="0"/>
          <w:numId w:val="15"/>
        </w:numPr>
        <w:rPr>
          <w:sz w:val="24"/>
          <w:szCs w:val="24"/>
        </w:rPr>
      </w:pPr>
      <w:r w:rsidRPr="008737F8">
        <w:rPr>
          <w:sz w:val="24"/>
          <w:szCs w:val="24"/>
        </w:rPr>
        <w:t>Einsicht in die Bruttolohn- und Gehaltslisten (§ 80 Abs. 2 BetrVG)</w:t>
      </w:r>
    </w:p>
    <w:p w14:paraId="1BD72CC6" w14:textId="77777777" w:rsidR="0023549C" w:rsidRPr="008737F8" w:rsidRDefault="0023549C" w:rsidP="00374F67">
      <w:pPr>
        <w:pStyle w:val="Listenabsatz"/>
        <w:numPr>
          <w:ilvl w:val="0"/>
          <w:numId w:val="15"/>
        </w:numPr>
        <w:rPr>
          <w:sz w:val="24"/>
          <w:szCs w:val="24"/>
        </w:rPr>
      </w:pPr>
      <w:r w:rsidRPr="008737F8">
        <w:rPr>
          <w:sz w:val="24"/>
          <w:szCs w:val="24"/>
        </w:rPr>
        <w:t>rechtzeitige und umfassende Information beim betrieblichen Prüfverfahren (§ 80 Abs. 2 BetrVG)</w:t>
      </w:r>
    </w:p>
    <w:p w14:paraId="28DD5D21" w14:textId="77777777" w:rsidR="0023549C" w:rsidRPr="008737F8" w:rsidRDefault="0023549C" w:rsidP="00374F67">
      <w:pPr>
        <w:pStyle w:val="Listenabsatz"/>
        <w:numPr>
          <w:ilvl w:val="0"/>
          <w:numId w:val="15"/>
        </w:numPr>
        <w:rPr>
          <w:sz w:val="24"/>
          <w:szCs w:val="24"/>
        </w:rPr>
      </w:pPr>
      <w:r w:rsidRPr="008737F8">
        <w:rPr>
          <w:sz w:val="24"/>
          <w:szCs w:val="24"/>
        </w:rPr>
        <w:t>Mitbestimmung bei Fragen der betrieblichen Lohngestaltung und leistungsbezogener Entgelte (§ 87 Abs. 1 Nr. 10 und 11 BetrVG)</w:t>
      </w:r>
    </w:p>
    <w:p w14:paraId="4F4A937A" w14:textId="77777777" w:rsidR="0023549C" w:rsidRPr="008737F8" w:rsidRDefault="0023549C" w:rsidP="00374F67">
      <w:pPr>
        <w:pStyle w:val="Listenabsatz"/>
        <w:numPr>
          <w:ilvl w:val="0"/>
          <w:numId w:val="15"/>
        </w:numPr>
        <w:rPr>
          <w:sz w:val="24"/>
          <w:szCs w:val="24"/>
        </w:rPr>
      </w:pPr>
      <w:r w:rsidRPr="008737F8">
        <w:rPr>
          <w:sz w:val="24"/>
          <w:szCs w:val="24"/>
        </w:rPr>
        <w:t>Mitbestimmung bei Ein- und Umgruppierung nach § 99 BetrVG</w:t>
      </w:r>
    </w:p>
    <w:p w14:paraId="4B4CD701" w14:textId="1ABDF714" w:rsidR="0023549C" w:rsidRPr="008737F8" w:rsidRDefault="0023549C" w:rsidP="00D06BDC">
      <w:pPr>
        <w:pStyle w:val="Listenabsatz"/>
        <w:numPr>
          <w:ilvl w:val="0"/>
          <w:numId w:val="15"/>
        </w:numPr>
        <w:rPr>
          <w:sz w:val="32"/>
          <w:szCs w:val="32"/>
        </w:rPr>
      </w:pPr>
      <w:r w:rsidRPr="008737F8">
        <w:rPr>
          <w:sz w:val="24"/>
          <w:szCs w:val="24"/>
        </w:rPr>
        <w:t>Recht des Betriebsrats, einmal im Kalenderjahr vom Arbeitgeber einen Gleichstellungsbericht einzufordern (§ 43 Abs. 2, § 53 Abs. 2 BetrVG)</w:t>
      </w:r>
    </w:p>
    <w:p w14:paraId="5DE122D8" w14:textId="77777777" w:rsidR="0023549C" w:rsidRPr="003F6CEC" w:rsidRDefault="0023549C" w:rsidP="0023549C">
      <w:pPr>
        <w:rPr>
          <w:sz w:val="32"/>
          <w:szCs w:val="32"/>
        </w:rPr>
      </w:pPr>
    </w:p>
    <w:p w14:paraId="21029E60" w14:textId="77777777" w:rsidR="0023549C" w:rsidRPr="003F6CEC" w:rsidRDefault="0023549C" w:rsidP="0023549C">
      <w:pPr>
        <w:rPr>
          <w:sz w:val="32"/>
          <w:szCs w:val="32"/>
        </w:rPr>
      </w:pPr>
    </w:p>
    <w:sectPr w:rsidR="0023549C" w:rsidRPr="003F6CEC"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A2E84" w14:textId="77777777" w:rsidR="00863182" w:rsidRDefault="00863182" w:rsidP="00645C6A">
      <w:pPr>
        <w:spacing w:after="0" w:line="240" w:lineRule="auto"/>
      </w:pPr>
      <w:r>
        <w:separator/>
      </w:r>
    </w:p>
  </w:endnote>
  <w:endnote w:type="continuationSeparator" w:id="0">
    <w:p w14:paraId="3B399626" w14:textId="77777777" w:rsidR="00863182" w:rsidRDefault="00863182"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22B4" w14:textId="69522F80"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23549C">
      <w:rPr>
        <w:sz w:val="16"/>
        <w:szCs w:val="16"/>
      </w:rPr>
      <w:t>August 2024</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7E25E" w14:textId="77777777" w:rsidR="00863182" w:rsidRDefault="00863182" w:rsidP="00645C6A">
      <w:pPr>
        <w:spacing w:after="0" w:line="240" w:lineRule="auto"/>
      </w:pPr>
      <w:r>
        <w:separator/>
      </w:r>
    </w:p>
  </w:footnote>
  <w:footnote w:type="continuationSeparator" w:id="0">
    <w:p w14:paraId="0CB8AC80" w14:textId="77777777" w:rsidR="00863182" w:rsidRDefault="00863182"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067472"/>
    <w:multiLevelType w:val="hybridMultilevel"/>
    <w:tmpl w:val="5B3C93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8"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B9E66C1"/>
    <w:multiLevelType w:val="singleLevel"/>
    <w:tmpl w:val="7C6A5C90"/>
    <w:lvl w:ilvl="0">
      <w:start w:val="1"/>
      <w:numFmt w:val="lowerLetter"/>
      <w:lvlText w:val="%1)"/>
      <w:lvlJc w:val="left"/>
      <w:pPr>
        <w:tabs>
          <w:tab w:val="num" w:pos="1848"/>
        </w:tabs>
        <w:ind w:left="2206" w:hanging="358"/>
      </w:pPr>
      <w:rPr>
        <w:rFonts w:ascii="Arial" w:hAnsi="Arial" w:cs="Arial"/>
        <w:b w:val="0"/>
        <w:i w:val="0"/>
        <w:color w:val="000000"/>
        <w:position w:val="0"/>
        <w:sz w:val="22"/>
        <w:u w:val="none"/>
      </w:rPr>
    </w:lvl>
  </w:abstractNum>
  <w:abstractNum w:abstractNumId="11"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C10B89"/>
    <w:multiLevelType w:val="hybridMultilevel"/>
    <w:tmpl w:val="5C92C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4"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946742579">
    <w:abstractNumId w:val="14"/>
  </w:num>
  <w:num w:numId="2" w16cid:durableId="1529026293">
    <w:abstractNumId w:val="0"/>
  </w:num>
  <w:num w:numId="3" w16cid:durableId="1694501345">
    <w:abstractNumId w:val="9"/>
  </w:num>
  <w:num w:numId="4" w16cid:durableId="597257664">
    <w:abstractNumId w:val="8"/>
  </w:num>
  <w:num w:numId="5" w16cid:durableId="802423389">
    <w:abstractNumId w:val="1"/>
  </w:num>
  <w:num w:numId="6" w16cid:durableId="1123379281">
    <w:abstractNumId w:val="13"/>
  </w:num>
  <w:num w:numId="7" w16cid:durableId="809396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3696163">
    <w:abstractNumId w:val="4"/>
  </w:num>
  <w:num w:numId="9" w16cid:durableId="2054226273">
    <w:abstractNumId w:val="2"/>
  </w:num>
  <w:num w:numId="10" w16cid:durableId="614992316">
    <w:abstractNumId w:val="7"/>
  </w:num>
  <w:num w:numId="11" w16cid:durableId="1809010452">
    <w:abstractNumId w:val="11"/>
  </w:num>
  <w:num w:numId="12" w16cid:durableId="2128311062">
    <w:abstractNumId w:val="10"/>
  </w:num>
  <w:num w:numId="13" w16cid:durableId="1952515420">
    <w:abstractNumId w:val="6"/>
  </w:num>
  <w:num w:numId="14" w16cid:durableId="40642866">
    <w:abstractNumId w:val="5"/>
  </w:num>
  <w:num w:numId="15" w16cid:durableId="4541020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30FF3"/>
    <w:rsid w:val="00046A0C"/>
    <w:rsid w:val="00051EEE"/>
    <w:rsid w:val="000555AD"/>
    <w:rsid w:val="00056EC0"/>
    <w:rsid w:val="00097E64"/>
    <w:rsid w:val="000C1235"/>
    <w:rsid w:val="000F3088"/>
    <w:rsid w:val="00105AD1"/>
    <w:rsid w:val="0012313C"/>
    <w:rsid w:val="00154639"/>
    <w:rsid w:val="0023549C"/>
    <w:rsid w:val="00267D40"/>
    <w:rsid w:val="002D5DD1"/>
    <w:rsid w:val="00302443"/>
    <w:rsid w:val="00374F67"/>
    <w:rsid w:val="004070D7"/>
    <w:rsid w:val="0043100C"/>
    <w:rsid w:val="004E4B9B"/>
    <w:rsid w:val="00530780"/>
    <w:rsid w:val="005B72E6"/>
    <w:rsid w:val="005C1193"/>
    <w:rsid w:val="005E2E83"/>
    <w:rsid w:val="006126D7"/>
    <w:rsid w:val="0062183F"/>
    <w:rsid w:val="00621D93"/>
    <w:rsid w:val="00645C6A"/>
    <w:rsid w:val="006527DB"/>
    <w:rsid w:val="00696EB5"/>
    <w:rsid w:val="006E17BA"/>
    <w:rsid w:val="00730DBA"/>
    <w:rsid w:val="00734514"/>
    <w:rsid w:val="00747B9D"/>
    <w:rsid w:val="007B14D4"/>
    <w:rsid w:val="007C20F8"/>
    <w:rsid w:val="00800A1E"/>
    <w:rsid w:val="008051F8"/>
    <w:rsid w:val="008337B7"/>
    <w:rsid w:val="00863182"/>
    <w:rsid w:val="0087317C"/>
    <w:rsid w:val="008737F8"/>
    <w:rsid w:val="00873E73"/>
    <w:rsid w:val="008757A7"/>
    <w:rsid w:val="008F196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576C4"/>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5</cp:revision>
  <dcterms:created xsi:type="dcterms:W3CDTF">2024-05-24T09:31:00Z</dcterms:created>
  <dcterms:modified xsi:type="dcterms:W3CDTF">2024-05-24T09:33:00Z</dcterms:modified>
</cp:coreProperties>
</file>